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eSourcing reference: ITB/20</w:t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46296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B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Long Term Agreement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Please refer to Annex III_Sample Long Term Agreement</w:t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v2017.1</w:t>
                </w:r>
                <w:r w:rsidDel="00000000" w:rsidR="00000000" w:rsidRPr="00000000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-23494</wp:posOffset>
                      </wp:positionH>
                      <wp:positionV relativeFrom="paragraph">
                        <wp:posOffset>-12699</wp:posOffset>
                      </wp:positionV>
                      <wp:extent cx="1477645" cy="215900"/>
                      <wp:effectExtent b="0" l="0" r="0" t="0"/>
                      <wp:wrapNone/>
                      <wp:docPr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7645" cy="2159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A5vE8bavJjA3AQfLYYHtWXmtKg==">AMUW2mVKDV/7A1wBBTPEcANpYSZNtiKSkofM97aylADDJeNI56U8Oi6Vzfo/MtqYUKmZFroBgrOIMTAd7NvXhenPFwKYIPqbW6aB6+/+rIbN9qh4k1AR28mrhZpVbznZ90TiM2Qdr9xO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2019-02-08T13:48:00Z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