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Energy Market Mechanism Accelerator - EMMA Regional</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ce:RFP/2022/44629</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51">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pos="2070"/>
          <w:tab w:val="left"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organisation, including the year and country of incorporation, and types of activities undertaken, including relevance of specialised knowledge and experience on similar engagements done in the past. Bidders partnering up with an Indonesian entity to provide for the strategic consultation, translations; as well as the communications expertise is considered a valuable asset.</w:t>
            </w:r>
          </w:p>
          <w:p w:rsidR="00000000" w:rsidDel="00000000" w:rsidP="00000000" w:rsidRDefault="00000000" w:rsidRPr="00000000" w14:paraId="00000069">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7"/>
              </w:numPr>
              <w:ind w:left="720" w:hanging="360"/>
              <w:rPr>
                <w:i w:val="1"/>
                <w:color w:val="0000ff"/>
              </w:rPr>
            </w:pPr>
            <w:r w:rsidDel="00000000" w:rsidR="00000000" w:rsidRPr="00000000">
              <w:rPr>
                <w:i w:val="1"/>
                <w:color w:val="0000ff"/>
                <w:rtl w:val="0"/>
              </w:rPr>
              <w:t xml:space="preserve">Experience in projects of comparable size, type, complexity and technical specialty (10)</w:t>
            </w:r>
            <w:r w:rsidDel="00000000" w:rsidR="00000000" w:rsidRPr="00000000">
              <w:rPr>
                <w:rtl w:val="0"/>
              </w:rPr>
            </w:r>
          </w:p>
          <w:p w:rsidR="00000000" w:rsidDel="00000000" w:rsidP="00000000" w:rsidRDefault="00000000" w:rsidRPr="00000000" w14:paraId="0000006E">
            <w:pPr>
              <w:numPr>
                <w:ilvl w:val="0"/>
                <w:numId w:val="7"/>
              </w:numPr>
              <w:ind w:left="720" w:hanging="360"/>
              <w:jc w:val="both"/>
              <w:rPr>
                <w:i w:val="1"/>
                <w:color w:val="0000ff"/>
              </w:rPr>
            </w:pPr>
            <w:r w:rsidDel="00000000" w:rsidR="00000000" w:rsidRPr="00000000">
              <w:rPr>
                <w:i w:val="1"/>
                <w:color w:val="0000ff"/>
                <w:highlight w:val="white"/>
                <w:rtl w:val="0"/>
              </w:rPr>
              <w:t xml:space="preserve">Experience in providing similar services in the region, especially in Indonesia, the Philippines, and Vietnam (5)</w:t>
            </w:r>
            <w:r w:rsidDel="00000000" w:rsidR="00000000" w:rsidRPr="00000000">
              <w:rPr>
                <w:rtl w:val="0"/>
              </w:rPr>
            </w:r>
          </w:p>
          <w:p w:rsidR="00000000" w:rsidDel="00000000" w:rsidP="00000000" w:rsidRDefault="00000000" w:rsidRPr="00000000" w14:paraId="0000006F">
            <w:pPr>
              <w:numPr>
                <w:ilvl w:val="0"/>
                <w:numId w:val="7"/>
              </w:numPr>
              <w:ind w:left="720" w:hanging="360"/>
              <w:rPr>
                <w:i w:val="1"/>
                <w:color w:val="0000ff"/>
              </w:rPr>
            </w:pPr>
            <w:r w:rsidDel="00000000" w:rsidR="00000000" w:rsidRPr="00000000">
              <w:rPr>
                <w:rFonts w:ascii="Open Sans" w:cs="Open Sans" w:eastAsia="Open Sans" w:hAnsi="Open Sans"/>
                <w:i w:val="1"/>
                <w:color w:val="0000ff"/>
                <w:highlight w:val="white"/>
                <w:rtl w:val="0"/>
              </w:rPr>
              <w:t xml:space="preserve">Understanding of local context, and partnering up with an Indonesia, The Philippines and Vietnam entity to provide for the strategic consultation, translations; as well as the communications expertise</w:t>
            </w:r>
            <w:r w:rsidDel="00000000" w:rsidR="00000000" w:rsidRPr="00000000">
              <w:rPr>
                <w:i w:val="1"/>
                <w:color w:val="0000ff"/>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7">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8">
            <w:pPr>
              <w:rPr>
                <w:i w:val="1"/>
                <w:color w:val="0000ff"/>
              </w:rPr>
            </w:pP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numPr>
                <w:ilvl w:val="0"/>
                <w:numId w:val="2"/>
              </w:numPr>
              <w:ind w:left="720" w:hanging="360"/>
              <w:rPr>
                <w:i w:val="1"/>
                <w:color w:val="0000ff"/>
              </w:rPr>
            </w:pPr>
            <w:r w:rsidDel="00000000" w:rsidR="00000000" w:rsidRPr="00000000">
              <w:rPr>
                <w:i w:val="1"/>
                <w:color w:val="0000ff"/>
                <w:rtl w:val="0"/>
              </w:rPr>
              <w:t xml:space="preserve">Management structure, management controls, and extent to which any part would be subcontracted (3)</w:t>
            </w:r>
          </w:p>
          <w:p w:rsidR="00000000" w:rsidDel="00000000" w:rsidP="00000000" w:rsidRDefault="00000000" w:rsidRPr="00000000" w14:paraId="0000007C">
            <w:pPr>
              <w:numPr>
                <w:ilvl w:val="0"/>
                <w:numId w:val="2"/>
              </w:numPr>
              <w:ind w:left="720" w:hanging="360"/>
              <w:rPr>
                <w:i w:val="1"/>
                <w:color w:val="0000ff"/>
              </w:rPr>
            </w:pPr>
            <w:r w:rsidDel="00000000" w:rsidR="00000000" w:rsidRPr="00000000">
              <w:rPr>
                <w:i w:val="1"/>
                <w:color w:val="0000ff"/>
                <w:rtl w:val="0"/>
              </w:rPr>
              <w:t xml:space="preserve">Financial Capacity/financial stability: Bidder should have minimum annual turnover of 150,000 USD in any of the past 2 years Liquidity / quick ratio should be minimum 1, in any of the past 2 years . In case of a joint venture, annual turnover is calculated based on the total annual turnover of the JV members. In case of a joint-venture, at least one of the JV members should have 1 liquidity/quick ratio in any of the past 2 years. (2)</w:t>
            </w:r>
          </w:p>
          <w:p w:rsidR="00000000" w:rsidDel="00000000" w:rsidP="00000000" w:rsidRDefault="00000000" w:rsidRPr="00000000" w14:paraId="0000007D">
            <w:pPr>
              <w:ind w:left="720" w:firstLine="0"/>
              <w:rPr>
                <w:i w:val="1"/>
                <w:color w:val="0000ff"/>
              </w:rPr>
            </w:pPr>
            <w:r w:rsidDel="00000000" w:rsidR="00000000" w:rsidRPr="00000000">
              <w:rPr>
                <w:rtl w:val="0"/>
              </w:rPr>
            </w:r>
          </w:p>
          <w:p w:rsidR="00000000" w:rsidDel="00000000" w:rsidP="00000000" w:rsidRDefault="00000000" w:rsidRPr="00000000" w14:paraId="0000007E">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1">
            <w:pPr>
              <w:rPr>
                <w:highlight w:val="magenta"/>
              </w:rPr>
            </w:pPr>
            <w:r w:rsidDel="00000000" w:rsidR="00000000" w:rsidRPr="00000000">
              <w:rPr>
                <w:rtl w:val="0"/>
              </w:rPr>
            </w:r>
          </w:p>
        </w:tc>
      </w:tr>
    </w:tbl>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4">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8">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9">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8A">
            <w:pPr>
              <w:numPr>
                <w:ilvl w:val="0"/>
                <w:numId w:val="4"/>
              </w:numPr>
              <w:ind w:left="720" w:hanging="360"/>
              <w:jc w:val="both"/>
              <w:rPr>
                <w:i w:val="1"/>
                <w:color w:val="0000ff"/>
              </w:rPr>
            </w:pPr>
            <w:r w:rsidDel="00000000" w:rsidR="00000000" w:rsidRPr="00000000">
              <w:rPr>
                <w:rFonts w:ascii="Open Sans" w:cs="Open Sans" w:eastAsia="Open Sans" w:hAnsi="Open Sans"/>
                <w:i w:val="1"/>
                <w:color w:val="0000ff"/>
                <w:rtl w:val="0"/>
              </w:rPr>
              <w:t xml:space="preserve">Description of the offeror’s approach to assess and quantify the status, political economy and legal perspectives for optimizing market mechanisms in the energy sector and procurement in Indonesia, the Philippines and Vietnam (10)</w:t>
            </w:r>
          </w:p>
          <w:p w:rsidR="00000000" w:rsidDel="00000000" w:rsidP="00000000" w:rsidRDefault="00000000" w:rsidRPr="00000000" w14:paraId="0000008B">
            <w:pPr>
              <w:numPr>
                <w:ilvl w:val="0"/>
                <w:numId w:val="4"/>
              </w:numPr>
              <w:ind w:left="720" w:hanging="360"/>
              <w:jc w:val="both"/>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Description o</w:t>
            </w:r>
            <w:r w:rsidDel="00000000" w:rsidR="00000000" w:rsidRPr="00000000">
              <w:rPr>
                <w:rFonts w:ascii="Open Sans" w:cs="Open Sans" w:eastAsia="Open Sans" w:hAnsi="Open Sans"/>
                <w:i w:val="1"/>
                <w:color w:val="0000ff"/>
                <w:highlight w:val="white"/>
                <w:rtl w:val="0"/>
              </w:rPr>
              <w:t xml:space="preserve">f the offeror’s approach to analyzing the current and future legal and political economy considerations and the opportunities for and pathways to increased use of market mechanisms in the energy sector to secure greater renewable energy in the energy mix in Indonesia, the Philippines and Vietnam. (10)</w:t>
            </w:r>
          </w:p>
          <w:p w:rsidR="00000000" w:rsidDel="00000000" w:rsidP="00000000" w:rsidRDefault="00000000" w:rsidRPr="00000000" w14:paraId="0000008C">
            <w:pPr>
              <w:ind w:left="720" w:firstLine="0"/>
              <w:jc w:val="both"/>
              <w:rPr>
                <w:rFonts w:ascii="Open Sans" w:cs="Open Sans" w:eastAsia="Open Sans" w:hAnsi="Open Sans"/>
                <w:i w:val="1"/>
                <w:color w:val="0000ff"/>
                <w:highlight w:val="white"/>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3">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4">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6">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9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1">
            <w:pPr>
              <w:rPr>
                <w:i w:val="1"/>
                <w:color w:val="0000ff"/>
              </w:rPr>
            </w:pPr>
            <w:r w:rsidDel="00000000" w:rsidR="00000000" w:rsidRPr="00000000">
              <w:rPr>
                <w:rtl w:val="0"/>
              </w:rPr>
            </w:r>
          </w:p>
          <w:p w:rsidR="00000000" w:rsidDel="00000000" w:rsidP="00000000" w:rsidRDefault="00000000" w:rsidRPr="00000000" w14:paraId="000000A2">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7">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rPr>
                <w:b w:val="1"/>
              </w:rPr>
            </w:pPr>
            <w:r w:rsidDel="00000000" w:rsidR="00000000" w:rsidRPr="00000000">
              <w:rPr>
                <w:rtl w:val="0"/>
              </w:rPr>
            </w:r>
          </w:p>
          <w:p w:rsidR="00000000" w:rsidDel="00000000" w:rsidP="00000000" w:rsidRDefault="00000000" w:rsidRPr="00000000" w14:paraId="000000AB">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AF">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0">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1">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2">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3">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4">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5">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6">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7">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B8">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9">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A">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BB">
            <w:pPr>
              <w:rPr>
                <w:i w:val="1"/>
                <w:color w:val="0000ff"/>
              </w:rPr>
            </w:pPr>
            <w:r w:rsidDel="00000000" w:rsidR="00000000" w:rsidRPr="00000000">
              <w:rPr>
                <w:rtl w:val="0"/>
              </w:rPr>
            </w:r>
          </w:p>
          <w:p w:rsidR="00000000" w:rsidDel="00000000" w:rsidP="00000000" w:rsidRDefault="00000000" w:rsidRPr="00000000" w14:paraId="000000BC">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BD">
            <w:pPr>
              <w:rPr>
                <w:i w:val="1"/>
                <w:color w:val="0000ff"/>
              </w:rPr>
            </w:pPr>
            <w:r w:rsidDel="00000000" w:rsidR="00000000" w:rsidRPr="00000000">
              <w:rPr>
                <w:rtl w:val="0"/>
              </w:rPr>
            </w:r>
          </w:p>
          <w:p w:rsidR="00000000" w:rsidDel="00000000" w:rsidP="00000000" w:rsidRDefault="00000000" w:rsidRPr="00000000" w14:paraId="000000BE">
            <w:pPr>
              <w:numPr>
                <w:ilvl w:val="0"/>
                <w:numId w:val="3"/>
              </w:numPr>
              <w:ind w:left="720" w:hanging="360"/>
              <w:rPr>
                <w:i w:val="1"/>
                <w:color w:val="0000ff"/>
              </w:rPr>
            </w:pPr>
            <w:r w:rsidDel="00000000" w:rsidR="00000000" w:rsidRPr="00000000">
              <w:rPr>
                <w:i w:val="1"/>
                <w:color w:val="0000ff"/>
                <w:rtl w:val="0"/>
              </w:rPr>
              <w:t xml:space="preserve">Team leader (6.5)</w:t>
            </w:r>
          </w:p>
          <w:p w:rsidR="00000000" w:rsidDel="00000000" w:rsidP="00000000" w:rsidRDefault="00000000" w:rsidRPr="00000000" w14:paraId="000000BF">
            <w:pPr>
              <w:numPr>
                <w:ilvl w:val="0"/>
                <w:numId w:val="3"/>
              </w:numPr>
              <w:ind w:left="720" w:hanging="360"/>
              <w:rPr>
                <w:i w:val="1"/>
                <w:color w:val="0000ff"/>
              </w:rPr>
            </w:pPr>
            <w:r w:rsidDel="00000000" w:rsidR="00000000" w:rsidRPr="00000000">
              <w:rPr>
                <w:i w:val="1"/>
                <w:color w:val="0000ff"/>
                <w:highlight w:val="white"/>
                <w:rtl w:val="0"/>
              </w:rPr>
              <w:t xml:space="preserve">Subject Matter Expert - Indonesia (4.5)</w:t>
            </w:r>
            <w:r w:rsidDel="00000000" w:rsidR="00000000" w:rsidRPr="00000000">
              <w:rPr>
                <w:rtl w:val="0"/>
              </w:rPr>
            </w:r>
          </w:p>
          <w:p w:rsidR="00000000" w:rsidDel="00000000" w:rsidP="00000000" w:rsidRDefault="00000000" w:rsidRPr="00000000" w14:paraId="000000C0">
            <w:pPr>
              <w:numPr>
                <w:ilvl w:val="0"/>
                <w:numId w:val="3"/>
              </w:numPr>
              <w:ind w:left="720" w:hanging="360"/>
              <w:rPr>
                <w:i w:val="1"/>
                <w:color w:val="0000ff"/>
              </w:rPr>
            </w:pPr>
            <w:r w:rsidDel="00000000" w:rsidR="00000000" w:rsidRPr="00000000">
              <w:rPr>
                <w:i w:val="1"/>
                <w:color w:val="0000ff"/>
                <w:highlight w:val="white"/>
                <w:rtl w:val="0"/>
              </w:rPr>
              <w:t xml:space="preserve">Subject Matter Expert - Philippines (4.5)</w:t>
            </w:r>
          </w:p>
          <w:p w:rsidR="00000000" w:rsidDel="00000000" w:rsidP="00000000" w:rsidRDefault="00000000" w:rsidRPr="00000000" w14:paraId="000000C1">
            <w:pPr>
              <w:numPr>
                <w:ilvl w:val="0"/>
                <w:numId w:val="3"/>
              </w:numPr>
              <w:spacing w:line="288" w:lineRule="auto"/>
              <w:ind w:left="720" w:hanging="360"/>
              <w:jc w:val="both"/>
              <w:rPr>
                <w:i w:val="1"/>
                <w:color w:val="0000ff"/>
                <w:highlight w:val="white"/>
              </w:rPr>
            </w:pPr>
            <w:r w:rsidDel="00000000" w:rsidR="00000000" w:rsidRPr="00000000">
              <w:rPr>
                <w:i w:val="1"/>
                <w:color w:val="0000ff"/>
                <w:highlight w:val="white"/>
                <w:rtl w:val="0"/>
              </w:rPr>
              <w:t xml:space="preserve">Subject Matter Expert - Vietnam (4.5) </w:t>
            </w:r>
          </w:p>
          <w:p w:rsidR="00000000" w:rsidDel="00000000" w:rsidP="00000000" w:rsidRDefault="00000000" w:rsidRPr="00000000" w14:paraId="000000C2">
            <w:pPr>
              <w:rPr>
                <w:i w:val="1"/>
                <w:color w:val="0000ff"/>
              </w:rPr>
            </w:pPr>
            <w:r w:rsidDel="00000000" w:rsidR="00000000" w:rsidRPr="00000000">
              <w:rPr>
                <w:rtl w:val="0"/>
              </w:rPr>
            </w:r>
          </w:p>
          <w:p w:rsidR="00000000" w:rsidDel="00000000" w:rsidP="00000000" w:rsidRDefault="00000000" w:rsidRPr="00000000" w14:paraId="000000C3">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7">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8">
            <w:pPr>
              <w:widowControl w:val="0"/>
              <w:spacing w:line="276" w:lineRule="auto"/>
              <w:rPr>
                <w:b w:val="1"/>
              </w:rPr>
            </w:pPr>
            <w:r w:rsidDel="00000000" w:rsidR="00000000" w:rsidRPr="00000000">
              <w:rPr>
                <w:rFonts w:ascii="Open Sans" w:cs="Open Sans" w:eastAsia="Open Sans" w:hAnsi="Open Sans"/>
                <w:rtl w:val="0"/>
              </w:rPr>
              <w:t xml:space="preserve">The bidder shall provide a response that demonstrates its commitment to support gender equality through its operations</w:t>
            </w:r>
            <w:r w:rsidDel="00000000" w:rsidR="00000000" w:rsidRPr="00000000">
              <w:rPr>
                <w:rtl w:val="0"/>
              </w:rPr>
            </w:r>
          </w:p>
          <w:p w:rsidR="00000000" w:rsidDel="00000000" w:rsidP="00000000" w:rsidRDefault="00000000" w:rsidRPr="00000000" w14:paraId="000000C9">
            <w:pPr>
              <w:widowControl w:val="0"/>
              <w:rPr/>
            </w:pPr>
            <w:r w:rsidDel="00000000" w:rsidR="00000000" w:rsidRPr="00000000">
              <w:rPr>
                <w:rtl w:val="0"/>
              </w:rPr>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B">
            <w:pPr>
              <w:rPr>
                <w:i w:val="1"/>
                <w:color w:val="0000ff"/>
              </w:rPr>
            </w:pPr>
            <w:r w:rsidDel="00000000" w:rsidR="00000000" w:rsidRPr="00000000">
              <w:rPr>
                <w:rtl w:val="0"/>
              </w:rPr>
            </w:r>
          </w:p>
          <w:p w:rsidR="00000000" w:rsidDel="00000000" w:rsidP="00000000" w:rsidRDefault="00000000" w:rsidRPr="00000000" w14:paraId="000000CC">
            <w:pPr>
              <w:rPr>
                <w:color w:val="0000ff"/>
              </w:rPr>
            </w:pPr>
            <w:r w:rsidDel="00000000" w:rsidR="00000000" w:rsidRPr="00000000">
              <w:rPr>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CD">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CE">
            <w:pPr>
              <w:widowControl w:val="0"/>
              <w:rPr/>
            </w:pPr>
            <w:r w:rsidDel="00000000" w:rsidR="00000000" w:rsidRPr="00000000">
              <w:rPr>
                <w:rtl w:val="0"/>
              </w:rPr>
            </w:r>
          </w:p>
        </w:tc>
      </w:tr>
    </w:tbl>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highlight w:val="lightGray"/>
        </w:rPr>
      </w:pP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2">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D3">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4">
      <w:pPr>
        <w:tabs>
          <w:tab w:val="left" w:pos="720"/>
        </w:tabs>
        <w:rPr>
          <w:color w:val="000000"/>
        </w:rPr>
      </w:pPr>
      <w:r w:rsidDel="00000000" w:rsidR="00000000" w:rsidRPr="00000000">
        <w:rPr>
          <w:rtl w:val="0"/>
        </w:rPr>
      </w:r>
    </w:p>
    <w:p w:rsidR="00000000" w:rsidDel="00000000" w:rsidP="00000000" w:rsidRDefault="00000000" w:rsidRPr="00000000" w14:paraId="000000D5">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6">
      <w:pPr>
        <w:rPr>
          <w:color w:val="000000"/>
        </w:rPr>
      </w:pPr>
      <w:r w:rsidDel="00000000" w:rsidR="00000000" w:rsidRPr="00000000">
        <w:rPr>
          <w:rtl w:val="0"/>
        </w:rPr>
      </w:r>
    </w:p>
    <w:p w:rsidR="00000000" w:rsidDel="00000000" w:rsidP="00000000" w:rsidRDefault="00000000" w:rsidRPr="00000000" w14:paraId="000000D7">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8">
      <w:pPr>
        <w:rPr>
          <w:color w:val="000000"/>
        </w:rPr>
      </w:pPr>
      <w:r w:rsidDel="00000000" w:rsidR="00000000" w:rsidRPr="00000000">
        <w:rPr>
          <w:rtl w:val="0"/>
        </w:rPr>
      </w:r>
    </w:p>
    <w:p w:rsidR="00000000" w:rsidDel="00000000" w:rsidP="00000000" w:rsidRDefault="00000000" w:rsidRPr="00000000" w14:paraId="000000D9">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DA">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D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D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E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E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E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E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E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E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E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E9">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E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E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E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E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E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E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0F2">
            <w:pPr>
              <w:pStyle w:val="Subtitle"/>
              <w:numPr>
                <w:ilvl w:val="0"/>
                <w:numId w:val="5"/>
              </w:numPr>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3">
            <w:pPr>
              <w:pStyle w:val="Subtitle"/>
              <w:numPr>
                <w:ilvl w:val="0"/>
                <w:numId w:val="5"/>
              </w:numPr>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0F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0F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0F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0F9">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0F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0F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0F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0F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0F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0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0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0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09">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0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1">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2">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13">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14">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15">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17">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18">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1">
            <w:pPr>
              <w:rPr/>
            </w:pPr>
            <w:r w:rsidDel="00000000" w:rsidR="00000000" w:rsidRPr="00000000">
              <w:rPr>
                <w:rtl w:val="0"/>
              </w:rPr>
            </w:r>
          </w:p>
        </w:tc>
        <w:tc>
          <w:tcPr/>
          <w:p w:rsidR="00000000" w:rsidDel="00000000" w:rsidP="00000000" w:rsidRDefault="00000000" w:rsidRPr="00000000" w14:paraId="00000122">
            <w:pPr>
              <w:rPr/>
            </w:pPr>
            <w:r w:rsidDel="00000000" w:rsidR="00000000" w:rsidRPr="00000000">
              <w:rPr>
                <w:rtl w:val="0"/>
              </w:rPr>
            </w:r>
          </w:p>
        </w:tc>
        <w:tc>
          <w:tcPr/>
          <w:p w:rsidR="00000000" w:rsidDel="00000000" w:rsidP="00000000" w:rsidRDefault="00000000" w:rsidRPr="00000000" w14:paraId="00000123">
            <w:pPr>
              <w:rPr/>
            </w:pPr>
            <w:r w:rsidDel="00000000" w:rsidR="00000000" w:rsidRPr="00000000">
              <w:rPr>
                <w:rtl w:val="0"/>
              </w:rPr>
            </w:r>
          </w:p>
        </w:tc>
        <w:tc>
          <w:tcPr/>
          <w:p w:rsidR="00000000" w:rsidDel="00000000" w:rsidP="00000000" w:rsidRDefault="00000000" w:rsidRPr="00000000" w14:paraId="00000124">
            <w:pPr>
              <w:rPr/>
            </w:pPr>
            <w:r w:rsidDel="00000000" w:rsidR="00000000" w:rsidRPr="00000000">
              <w:rPr>
                <w:rtl w:val="0"/>
              </w:rPr>
            </w:r>
          </w:p>
        </w:tc>
        <w:tc>
          <w:tcPr/>
          <w:p w:rsidR="00000000" w:rsidDel="00000000" w:rsidP="00000000" w:rsidRDefault="00000000" w:rsidRPr="00000000" w14:paraId="00000125">
            <w:pPr>
              <w:rPr/>
            </w:pPr>
            <w:r w:rsidDel="00000000" w:rsidR="00000000" w:rsidRPr="00000000">
              <w:rPr>
                <w:rtl w:val="0"/>
              </w:rPr>
            </w:r>
          </w:p>
        </w:tc>
        <w:tc>
          <w:tcPr/>
          <w:p w:rsidR="00000000" w:rsidDel="00000000" w:rsidP="00000000" w:rsidRDefault="00000000" w:rsidRPr="00000000" w14:paraId="00000126">
            <w:pPr>
              <w:rPr/>
            </w:pPr>
            <w:r w:rsidDel="00000000" w:rsidR="00000000" w:rsidRPr="00000000">
              <w:rPr>
                <w:rtl w:val="0"/>
              </w:rPr>
            </w:r>
          </w:p>
        </w:tc>
        <w:tc>
          <w:tcPr/>
          <w:p w:rsidR="00000000" w:rsidDel="00000000" w:rsidP="00000000" w:rsidRDefault="00000000" w:rsidRPr="00000000" w14:paraId="00000127">
            <w:pPr>
              <w:rPr/>
            </w:pPr>
            <w:r w:rsidDel="00000000" w:rsidR="00000000" w:rsidRPr="00000000">
              <w:rPr>
                <w:rtl w:val="0"/>
              </w:rPr>
            </w:r>
          </w:p>
        </w:tc>
        <w:tc>
          <w:tcPr/>
          <w:p w:rsidR="00000000" w:rsidDel="00000000" w:rsidP="00000000" w:rsidRDefault="00000000" w:rsidRPr="00000000" w14:paraId="00000128">
            <w:pPr>
              <w:rPr/>
            </w:pPr>
            <w:r w:rsidDel="00000000" w:rsidR="00000000" w:rsidRPr="00000000">
              <w:rPr>
                <w:rtl w:val="0"/>
              </w:rPr>
            </w:r>
          </w:p>
        </w:tc>
      </w:tr>
      <w:tr>
        <w:trPr>
          <w:cantSplit w:val="0"/>
          <w:tblHeader w:val="0"/>
        </w:trPr>
        <w:tc>
          <w:tcPr/>
          <w:p w:rsidR="00000000" w:rsidDel="00000000" w:rsidP="00000000" w:rsidRDefault="00000000" w:rsidRPr="00000000" w14:paraId="00000129">
            <w:pPr>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tl w:val="0"/>
              </w:rPr>
            </w:r>
          </w:p>
        </w:tc>
        <w:tc>
          <w:tcPr/>
          <w:p w:rsidR="00000000" w:rsidDel="00000000" w:rsidP="00000000" w:rsidRDefault="00000000" w:rsidRPr="00000000" w14:paraId="0000012B">
            <w:pPr>
              <w:rPr/>
            </w:pPr>
            <w:r w:rsidDel="00000000" w:rsidR="00000000" w:rsidRPr="00000000">
              <w:rPr>
                <w:rtl w:val="0"/>
              </w:rPr>
            </w:r>
          </w:p>
        </w:tc>
        <w:tc>
          <w:tcPr/>
          <w:p w:rsidR="00000000" w:rsidDel="00000000" w:rsidP="00000000" w:rsidRDefault="00000000" w:rsidRPr="00000000" w14:paraId="0000012C">
            <w:pPr>
              <w:rPr/>
            </w:pPr>
            <w:r w:rsidDel="00000000" w:rsidR="00000000" w:rsidRPr="00000000">
              <w:rPr>
                <w:rtl w:val="0"/>
              </w:rPr>
            </w:r>
          </w:p>
        </w:tc>
        <w:tc>
          <w:tcPr/>
          <w:p w:rsidR="00000000" w:rsidDel="00000000" w:rsidP="00000000" w:rsidRDefault="00000000" w:rsidRPr="00000000" w14:paraId="0000012D">
            <w:pPr>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r>
      <w:tr>
        <w:trPr>
          <w:cantSplit w:val="0"/>
          <w:tblHeader w:val="0"/>
        </w:trPr>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r>
      <w:tr>
        <w:trPr>
          <w:cantSplit w:val="0"/>
          <w:tblHeader w:val="0"/>
        </w:trPr>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r>
    </w:tbl>
    <w:p w:rsidR="00000000" w:rsidDel="00000000" w:rsidP="00000000" w:rsidRDefault="00000000" w:rsidRPr="00000000" w14:paraId="00000141">
      <w:pPr>
        <w:ind w:left="1598" w:hanging="1598"/>
        <w:jc w:val="both"/>
        <w:rPr/>
      </w:pP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3">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44">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5">
      <w:pPr>
        <w:tabs>
          <w:tab w:val="left" w:pos="720"/>
        </w:tabs>
        <w:rPr>
          <w:color w:val="000000"/>
        </w:rPr>
      </w:pPr>
      <w:r w:rsidDel="00000000" w:rsidR="00000000" w:rsidRPr="00000000">
        <w:rPr>
          <w:rtl w:val="0"/>
        </w:rPr>
      </w:r>
    </w:p>
    <w:p w:rsidR="00000000" w:rsidDel="00000000" w:rsidP="00000000" w:rsidRDefault="00000000" w:rsidRPr="00000000" w14:paraId="00000146">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7">
      <w:pPr>
        <w:rPr>
          <w:color w:val="000000"/>
        </w:rPr>
      </w:pPr>
      <w:r w:rsidDel="00000000" w:rsidR="00000000" w:rsidRPr="00000000">
        <w:rPr>
          <w:rtl w:val="0"/>
        </w:rPr>
      </w:r>
    </w:p>
    <w:p w:rsidR="00000000" w:rsidDel="00000000" w:rsidP="00000000" w:rsidRDefault="00000000" w:rsidRPr="00000000" w14:paraId="00000148">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9">
      <w:pPr>
        <w:rPr>
          <w:color w:val="000000"/>
        </w:rPr>
      </w:pPr>
      <w:r w:rsidDel="00000000" w:rsidR="00000000" w:rsidRPr="00000000">
        <w:rPr>
          <w:rtl w:val="0"/>
        </w:rPr>
      </w:r>
    </w:p>
    <w:p w:rsidR="00000000" w:rsidDel="00000000" w:rsidP="00000000" w:rsidRDefault="00000000" w:rsidRPr="00000000" w14:paraId="0000014A">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4B">
      <w:pPr>
        <w:rPr>
          <w:sz w:val="22"/>
          <w:szCs w:val="22"/>
        </w:rPr>
      </w:pPr>
      <w:r w:rsidDel="00000000" w:rsidR="00000000" w:rsidRPr="00000000">
        <w:rPr>
          <w:rtl w:val="0"/>
        </w:rPr>
      </w:r>
    </w:p>
    <w:p w:rsidR="00000000" w:rsidDel="00000000" w:rsidP="00000000" w:rsidRDefault="00000000" w:rsidRPr="00000000" w14:paraId="0000014C">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2">
    <w:pPr>
      <w:tabs>
        <w:tab w:val="left" w:pos="468"/>
        <w:tab w:val="right"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5">
    <w:pPr>
      <w:tabs>
        <w:tab w:val="left" w:pos="468"/>
        <w:tab w:val="right"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4455</wp:posOffset>
                </wp:positionH>
                <wp:positionV relativeFrom="paragraph">
                  <wp:posOffset>-79367</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3jcGdJAO8TDa09657dDwodt4jcw==">AMUW2mWZXJWeP1ukYQa4mqywaqBvl1vKiEzwHxBrCtBWYpM40Ugnj5mjaygbx6nLADzxTRiKHbS8FKPRf1DD2mItza4uxdnrZt4l5mcg2h1m8kRR6rk7tPKKHSfz8+Ul+xamLV3J79+7gkYsZaIy6gN5w8KyMblWGMzNb5/fUihvuVVk/h6GOFrV5NlioOAwNhRZ5FOf7XtQ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