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F19F0" w14:textId="77777777" w:rsidR="00341E73" w:rsidRPr="004F384D" w:rsidRDefault="00341E73" w:rsidP="00341E73">
      <w:pPr>
        <w:pStyle w:val="Heading1"/>
        <w:widowControl/>
        <w:overflowPunct/>
        <w:adjustRightInd/>
        <w:spacing w:before="240" w:after="240"/>
        <w:rPr>
          <w:rFonts w:asciiTheme="minorHAnsi" w:hAnsiTheme="minorHAnsi" w:cstheme="minorHAnsi"/>
          <w:bCs w:val="0"/>
          <w:caps w:val="0"/>
          <w:noProof w:val="0"/>
          <w:spacing w:val="0"/>
          <w:kern w:val="0"/>
          <w:sz w:val="18"/>
          <w:szCs w:val="18"/>
        </w:rPr>
      </w:pPr>
      <w:r w:rsidRPr="004F384D">
        <w:rPr>
          <w:rFonts w:asciiTheme="minorHAnsi" w:hAnsiTheme="minorHAnsi" w:cstheme="minorHAnsi"/>
          <w:bCs w:val="0"/>
          <w:caps w:val="0"/>
          <w:noProof w:val="0"/>
          <w:spacing w:val="0"/>
          <w:kern w:val="0"/>
          <w:sz w:val="18"/>
          <w:szCs w:val="18"/>
        </w:rPr>
        <w:t>Section 4. Evaluation Criteria</w:t>
      </w:r>
    </w:p>
    <w:p w14:paraId="6E22E50D" w14:textId="77777777" w:rsidR="00341E73" w:rsidRPr="004F384D" w:rsidRDefault="00341E73" w:rsidP="00341E73">
      <w:pPr>
        <w:widowControl/>
        <w:overflowPunct/>
        <w:adjustRightInd/>
        <w:spacing w:after="160" w:line="259" w:lineRule="auto"/>
        <w:rPr>
          <w:rFonts w:asciiTheme="minorHAnsi" w:eastAsia="Calibri" w:hAnsiTheme="minorHAnsi" w:cstheme="minorHAnsi"/>
          <w:bCs/>
          <w:color w:val="0070C0"/>
          <w:kern w:val="0"/>
          <w:sz w:val="18"/>
          <w:szCs w:val="18"/>
          <w:lang w:val="en-GB"/>
        </w:rPr>
      </w:pPr>
      <w:r w:rsidRPr="004F384D">
        <w:rPr>
          <w:rFonts w:asciiTheme="minorHAnsi" w:eastAsia="Calibri" w:hAnsiTheme="minorHAnsi" w:cstheme="minorHAnsi"/>
          <w:b/>
          <w:bCs/>
          <w:color w:val="0070C0"/>
          <w:kern w:val="0"/>
          <w:sz w:val="18"/>
          <w:szCs w:val="18"/>
        </w:rPr>
        <w:t xml:space="preserve">Preliminary Examination Criteria </w:t>
      </w:r>
    </w:p>
    <w:p w14:paraId="4BBA0DE5" w14:textId="77777777" w:rsidR="00341E73" w:rsidRPr="004F384D" w:rsidRDefault="00341E73" w:rsidP="00341E73">
      <w:pPr>
        <w:widowControl/>
        <w:overflowPunct/>
        <w:adjustRightInd/>
        <w:spacing w:after="160" w:line="259" w:lineRule="auto"/>
        <w:rPr>
          <w:rFonts w:asciiTheme="minorHAnsi" w:eastAsia="Calibri" w:hAnsiTheme="minorHAnsi" w:cstheme="minorHAnsi"/>
          <w:kern w:val="0"/>
          <w:sz w:val="18"/>
          <w:szCs w:val="18"/>
        </w:rPr>
      </w:pPr>
      <w:r w:rsidRPr="004F384D">
        <w:rPr>
          <w:rFonts w:asciiTheme="minorHAnsi" w:eastAsia="Calibri" w:hAnsiTheme="minorHAnsi" w:cstheme="minorHAnsi"/>
          <w:spacing w:val="-2"/>
          <w:kern w:val="0"/>
          <w:sz w:val="18"/>
          <w:szCs w:val="18"/>
        </w:rPr>
        <w:t xml:space="preserve">Bids will be examined </w:t>
      </w:r>
      <w:r w:rsidRPr="004F384D">
        <w:rPr>
          <w:rFonts w:asciiTheme="minorHAnsi" w:eastAsia="Calibri" w:hAnsiTheme="minorHAnsi" w:cstheme="minorHAnsi"/>
          <w:kern w:val="0"/>
          <w:sz w:val="18"/>
          <w:szCs w:val="18"/>
        </w:rPr>
        <w:t>to determine whether they are complete and submitted in accordance with ITB requirements as per below criteria on a Yes/No basis:</w:t>
      </w:r>
    </w:p>
    <w:p w14:paraId="3BB3F2DE"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Appropriate signatures</w:t>
      </w:r>
    </w:p>
    <w:p w14:paraId="0178FEFA"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Power of Attorney</w:t>
      </w:r>
    </w:p>
    <w:p w14:paraId="19DA6582"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Minimum Bid documents provided</w:t>
      </w:r>
    </w:p>
    <w:p w14:paraId="6A74F7E7"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Bid Validity</w:t>
      </w:r>
    </w:p>
    <w:p w14:paraId="24574FCB"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 xml:space="preserve">Full compliance and agreement with UNDP General terms and conditions available by the link: </w:t>
      </w:r>
      <w:r w:rsidRPr="004F384D">
        <w:rPr>
          <w:rFonts w:asciiTheme="minorHAnsi" w:eastAsia="Times New Roman" w:hAnsiTheme="minorHAnsi" w:cstheme="minorHAnsi"/>
          <w:sz w:val="18"/>
          <w:szCs w:val="18"/>
        </w:rPr>
        <w:br/>
      </w:r>
      <w:hyperlink r:id="rId10" w:history="1">
        <w:r w:rsidRPr="004F384D">
          <w:rPr>
            <w:rStyle w:val="Hyperlink"/>
            <w:rFonts w:asciiTheme="minorHAnsi" w:hAnsiTheme="minorHAnsi" w:cstheme="minorHAnsi"/>
            <w:sz w:val="18"/>
            <w:szCs w:val="18"/>
          </w:rPr>
          <w:t>https://www.undp.org/content/dam/undp/library/corporate/Procurement/english/3.%20UNDP%20GTCs%20for%20Contracts%20(Goods%20and-or%20Services)%20-%20Sept%202017.pdf</w:t>
        </w:r>
      </w:hyperlink>
    </w:p>
    <w:p w14:paraId="449CEC12"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Bid Security (if required) submitted as per ITB requirements with compliant validity period</w:t>
      </w:r>
    </w:p>
    <w:p w14:paraId="531959C3" w14:textId="77777777" w:rsidR="00341E73" w:rsidRPr="004F384D" w:rsidRDefault="00341E73" w:rsidP="00341E73">
      <w:pPr>
        <w:widowControl/>
        <w:overflowPunct/>
        <w:adjustRightInd/>
        <w:spacing w:after="160" w:line="259" w:lineRule="auto"/>
        <w:rPr>
          <w:rFonts w:asciiTheme="minorHAnsi" w:eastAsia="Calibri" w:hAnsiTheme="minorHAnsi" w:cstheme="minorHAnsi"/>
          <w:b/>
          <w:bCs/>
          <w:color w:val="0070C0"/>
          <w:kern w:val="0"/>
          <w:sz w:val="18"/>
          <w:szCs w:val="18"/>
          <w:lang w:val="en-GB"/>
        </w:rPr>
      </w:pPr>
    </w:p>
    <w:p w14:paraId="0E9564E9" w14:textId="77777777" w:rsidR="00341E73" w:rsidRPr="004F384D" w:rsidRDefault="00341E73" w:rsidP="00341E73">
      <w:pPr>
        <w:widowControl/>
        <w:overflowPunct/>
        <w:adjustRightInd/>
        <w:spacing w:after="160" w:line="259" w:lineRule="auto"/>
        <w:rPr>
          <w:rFonts w:asciiTheme="minorHAnsi" w:eastAsia="Calibri" w:hAnsiTheme="minorHAnsi" w:cstheme="minorHAnsi"/>
          <w:bCs/>
          <w:color w:val="0070C0"/>
          <w:kern w:val="0"/>
          <w:sz w:val="18"/>
          <w:szCs w:val="18"/>
          <w:lang w:val="en-GB"/>
        </w:rPr>
      </w:pPr>
      <w:r w:rsidRPr="004F384D">
        <w:rPr>
          <w:rFonts w:asciiTheme="minorHAnsi" w:eastAsia="Calibri" w:hAnsiTheme="minorHAnsi" w:cstheme="minorHAnsi"/>
          <w:b/>
          <w:bCs/>
          <w:color w:val="0070C0"/>
          <w:kern w:val="0"/>
          <w:sz w:val="18"/>
          <w:szCs w:val="18"/>
          <w:lang w:val="en-GB"/>
        </w:rPr>
        <w:t>Minimum Eligibility and Qualification Criteria</w:t>
      </w:r>
      <w:r w:rsidRPr="004F384D">
        <w:rPr>
          <w:rFonts w:asciiTheme="minorHAnsi" w:eastAsia="Calibri" w:hAnsiTheme="minorHAnsi" w:cstheme="minorHAnsi"/>
          <w:bCs/>
          <w:color w:val="0070C0"/>
          <w:kern w:val="0"/>
          <w:sz w:val="18"/>
          <w:szCs w:val="18"/>
          <w:lang w:val="en-GB"/>
        </w:rPr>
        <w:t xml:space="preserve"> </w:t>
      </w:r>
    </w:p>
    <w:p w14:paraId="144CF4AC" w14:textId="77777777" w:rsidR="00341E73" w:rsidRPr="004F384D" w:rsidRDefault="00341E73" w:rsidP="00341E73">
      <w:pPr>
        <w:widowControl/>
        <w:overflowPunct/>
        <w:adjustRightInd/>
        <w:spacing w:after="160" w:line="259" w:lineRule="auto"/>
        <w:rPr>
          <w:rFonts w:asciiTheme="minorHAnsi" w:eastAsia="Calibri" w:hAnsiTheme="minorHAnsi" w:cstheme="minorHAnsi"/>
          <w:bCs/>
          <w:kern w:val="0"/>
          <w:sz w:val="18"/>
          <w:szCs w:val="18"/>
          <w:lang w:val="en-GB"/>
        </w:rPr>
      </w:pPr>
      <w:r w:rsidRPr="004F384D">
        <w:rPr>
          <w:rFonts w:asciiTheme="minorHAnsi" w:eastAsia="Calibri" w:hAnsiTheme="minorHAnsi" w:cstheme="minorHAnsi"/>
          <w:spacing w:val="-2"/>
          <w:kern w:val="0"/>
          <w:sz w:val="18"/>
          <w:szCs w:val="18"/>
        </w:rPr>
        <w:t xml:space="preserve">Eligibility and Qualification will be </w:t>
      </w:r>
      <w:r w:rsidRPr="004F384D">
        <w:rPr>
          <w:rFonts w:asciiTheme="minorHAnsi" w:eastAsia="Calibri" w:hAnsiTheme="minorHAnsi" w:cstheme="minorHAnsi"/>
          <w:bCs/>
          <w:kern w:val="0"/>
          <w:sz w:val="18"/>
          <w:szCs w:val="18"/>
          <w:lang w:val="en-GB"/>
        </w:rPr>
        <w:t xml:space="preserve">evaluated on a Pass/Fail basis. </w:t>
      </w:r>
    </w:p>
    <w:p w14:paraId="67531C89" w14:textId="77777777" w:rsidR="00341E73" w:rsidRPr="004F384D" w:rsidRDefault="00341E73" w:rsidP="00341E73">
      <w:pPr>
        <w:widowControl/>
        <w:overflowPunct/>
        <w:adjustRightInd/>
        <w:spacing w:after="160" w:line="259" w:lineRule="auto"/>
        <w:rPr>
          <w:rFonts w:asciiTheme="minorHAnsi" w:eastAsia="Times New Roman" w:hAnsiTheme="minorHAnsi" w:cstheme="minorHAnsi"/>
          <w:bCs/>
          <w:kern w:val="0"/>
          <w:sz w:val="18"/>
          <w:szCs w:val="18"/>
          <w:lang w:val="en-GB"/>
        </w:rPr>
      </w:pPr>
      <w:r w:rsidRPr="004F384D">
        <w:rPr>
          <w:rFonts w:asciiTheme="minorHAnsi" w:eastAsia="Calibri" w:hAnsiTheme="minorHAnsi" w:cstheme="minorHAnsi"/>
          <w:spacing w:val="-2"/>
          <w:kern w:val="0"/>
          <w:sz w:val="18"/>
          <w:szCs w:val="18"/>
        </w:rPr>
        <w:t xml:space="preserve">If the Bid is submitted as a Joint Venture/Consortium/Association, each member should meet the minimum criteria, unless otherwise specified. </w:t>
      </w:r>
    </w:p>
    <w:tbl>
      <w:tblPr>
        <w:tblStyle w:val="TableGrid1"/>
        <w:tblW w:w="9987" w:type="dxa"/>
        <w:tblBorders>
          <w:top w:val="single" w:sz="2" w:space="0" w:color="9CC2E5" w:themeColor="accent5" w:themeTint="99"/>
          <w:left w:val="single" w:sz="2" w:space="0" w:color="9CC2E5" w:themeColor="accent5" w:themeTint="99"/>
          <w:bottom w:val="single" w:sz="2" w:space="0" w:color="9CC2E5" w:themeColor="accent5" w:themeTint="99"/>
          <w:right w:val="single" w:sz="2" w:space="0" w:color="9CC2E5" w:themeColor="accent5" w:themeTint="99"/>
          <w:insideH w:val="single" w:sz="2" w:space="0" w:color="9CC2E5" w:themeColor="accent5" w:themeTint="99"/>
          <w:insideV w:val="single" w:sz="2" w:space="0" w:color="9CC2E5" w:themeColor="accent5" w:themeTint="99"/>
        </w:tblBorders>
        <w:tblLook w:val="04A0" w:firstRow="1" w:lastRow="0" w:firstColumn="1" w:lastColumn="0" w:noHBand="0" w:noVBand="1"/>
      </w:tblPr>
      <w:tblGrid>
        <w:gridCol w:w="2067"/>
        <w:gridCol w:w="5850"/>
        <w:gridCol w:w="2070"/>
      </w:tblGrid>
      <w:tr w:rsidR="00341E73" w:rsidRPr="004F384D" w14:paraId="38138244" w14:textId="77777777" w:rsidTr="1A5EEC20">
        <w:tc>
          <w:tcPr>
            <w:tcW w:w="2067" w:type="dxa"/>
            <w:shd w:val="clear" w:color="auto" w:fill="9BDEFF"/>
            <w:vAlign w:val="center"/>
          </w:tcPr>
          <w:p w14:paraId="7A7A9A7E" w14:textId="77777777" w:rsidR="00341E73" w:rsidRPr="004F384D" w:rsidRDefault="00341E73" w:rsidP="00911B20">
            <w:pPr>
              <w:jc w:val="center"/>
              <w:rPr>
                <w:rFonts w:asciiTheme="minorHAnsi" w:eastAsia="Times New Roman" w:hAnsiTheme="minorHAnsi" w:cstheme="minorHAnsi"/>
                <w:bCs/>
                <w:sz w:val="18"/>
                <w:szCs w:val="18"/>
                <w:lang w:val="en-GB"/>
              </w:rPr>
            </w:pPr>
            <w:r w:rsidRPr="004F384D">
              <w:rPr>
                <w:rFonts w:asciiTheme="minorHAnsi" w:eastAsia="Times New Roman" w:hAnsiTheme="minorHAnsi" w:cstheme="minorHAnsi"/>
                <w:b/>
                <w:bCs/>
                <w:sz w:val="18"/>
                <w:szCs w:val="18"/>
                <w:lang w:val="en-GB"/>
              </w:rPr>
              <w:t>Subject</w:t>
            </w:r>
          </w:p>
        </w:tc>
        <w:tc>
          <w:tcPr>
            <w:tcW w:w="5850" w:type="dxa"/>
            <w:shd w:val="clear" w:color="auto" w:fill="9BDEFF"/>
            <w:vAlign w:val="center"/>
          </w:tcPr>
          <w:p w14:paraId="4C85D519" w14:textId="77777777" w:rsidR="00341E73" w:rsidRPr="004F384D" w:rsidRDefault="00341E73" w:rsidP="00911B20">
            <w:pPr>
              <w:jc w:val="center"/>
              <w:rPr>
                <w:rFonts w:asciiTheme="minorHAnsi" w:eastAsia="Times New Roman" w:hAnsiTheme="minorHAnsi" w:cstheme="minorHAnsi"/>
                <w:bCs/>
                <w:sz w:val="18"/>
                <w:szCs w:val="18"/>
                <w:lang w:val="en-GB"/>
              </w:rPr>
            </w:pPr>
            <w:r w:rsidRPr="004F384D">
              <w:rPr>
                <w:rFonts w:asciiTheme="minorHAnsi" w:eastAsia="Times New Roman" w:hAnsiTheme="minorHAnsi" w:cstheme="minorHAnsi"/>
                <w:b/>
                <w:bCs/>
                <w:sz w:val="18"/>
                <w:szCs w:val="18"/>
                <w:lang w:val="en-GB"/>
              </w:rPr>
              <w:t>Criteria</w:t>
            </w:r>
          </w:p>
        </w:tc>
        <w:tc>
          <w:tcPr>
            <w:tcW w:w="2070" w:type="dxa"/>
            <w:shd w:val="clear" w:color="auto" w:fill="9BDEFF"/>
            <w:vAlign w:val="center"/>
          </w:tcPr>
          <w:p w14:paraId="454D0DB4" w14:textId="77777777" w:rsidR="00341E73" w:rsidRPr="004F384D" w:rsidRDefault="00341E73" w:rsidP="00911B20">
            <w:pPr>
              <w:jc w:val="center"/>
              <w:rPr>
                <w:rFonts w:asciiTheme="minorHAnsi" w:eastAsia="Times New Roman" w:hAnsiTheme="minorHAnsi" w:cstheme="minorHAnsi"/>
                <w:bCs/>
                <w:sz w:val="18"/>
                <w:szCs w:val="18"/>
                <w:lang w:val="en-GB"/>
              </w:rPr>
            </w:pPr>
            <w:r w:rsidRPr="004F384D">
              <w:rPr>
                <w:rFonts w:asciiTheme="minorHAnsi" w:eastAsia="Times New Roman" w:hAnsiTheme="minorHAnsi" w:cstheme="minorHAnsi"/>
                <w:b/>
                <w:bCs/>
                <w:sz w:val="18"/>
                <w:szCs w:val="18"/>
                <w:lang w:val="en-GB"/>
              </w:rPr>
              <w:t>Document Submission requirement</w:t>
            </w:r>
          </w:p>
        </w:tc>
      </w:tr>
      <w:tr w:rsidR="00341E73" w:rsidRPr="004F384D" w14:paraId="0105A3CB" w14:textId="77777777" w:rsidTr="1A5EEC20">
        <w:trPr>
          <w:trHeight w:val="315"/>
        </w:trPr>
        <w:tc>
          <w:tcPr>
            <w:tcW w:w="2067" w:type="dxa"/>
            <w:shd w:val="clear" w:color="auto" w:fill="9BDEFF"/>
            <w:vAlign w:val="center"/>
          </w:tcPr>
          <w:p w14:paraId="5F79364E" w14:textId="77777777" w:rsidR="00341E73" w:rsidRPr="004F384D" w:rsidRDefault="00341E73" w:rsidP="00911B20">
            <w:pPr>
              <w:jc w:val="center"/>
              <w:rPr>
                <w:rFonts w:asciiTheme="minorHAnsi" w:eastAsia="Times New Roman" w:hAnsiTheme="minorHAnsi" w:cstheme="minorHAnsi"/>
                <w:bCs/>
                <w:sz w:val="18"/>
                <w:szCs w:val="18"/>
                <w:highlight w:val="lightGray"/>
                <w:lang w:val="en-GB"/>
              </w:rPr>
            </w:pPr>
            <w:r w:rsidRPr="004F384D">
              <w:rPr>
                <w:rFonts w:asciiTheme="minorHAnsi" w:eastAsia="Times New Roman" w:hAnsiTheme="minorHAnsi" w:cstheme="minorHAnsi"/>
                <w:b/>
                <w:bCs/>
                <w:sz w:val="18"/>
                <w:szCs w:val="18"/>
                <w:lang w:val="en-GB"/>
              </w:rPr>
              <w:t xml:space="preserve">ELIGIBILITY </w:t>
            </w:r>
          </w:p>
        </w:tc>
        <w:tc>
          <w:tcPr>
            <w:tcW w:w="5850" w:type="dxa"/>
            <w:shd w:val="clear" w:color="auto" w:fill="auto"/>
          </w:tcPr>
          <w:p w14:paraId="482532BD" w14:textId="77777777" w:rsidR="00341E73" w:rsidRPr="004F384D" w:rsidRDefault="00341E73" w:rsidP="00911B20">
            <w:pPr>
              <w:jc w:val="center"/>
              <w:rPr>
                <w:rFonts w:asciiTheme="minorHAnsi" w:eastAsia="Times New Roman" w:hAnsiTheme="minorHAnsi" w:cstheme="minorHAnsi"/>
                <w:bCs/>
                <w:sz w:val="18"/>
                <w:szCs w:val="18"/>
                <w:highlight w:val="lightGray"/>
                <w:lang w:val="en-GB"/>
              </w:rPr>
            </w:pPr>
          </w:p>
        </w:tc>
        <w:tc>
          <w:tcPr>
            <w:tcW w:w="2070" w:type="dxa"/>
            <w:shd w:val="clear" w:color="auto" w:fill="auto"/>
          </w:tcPr>
          <w:p w14:paraId="561865C9" w14:textId="77777777" w:rsidR="00341E73" w:rsidRPr="004F384D" w:rsidRDefault="00341E73" w:rsidP="00911B20">
            <w:pPr>
              <w:jc w:val="center"/>
              <w:rPr>
                <w:rFonts w:asciiTheme="minorHAnsi" w:eastAsia="Times New Roman" w:hAnsiTheme="minorHAnsi" w:cstheme="minorHAnsi"/>
                <w:bCs/>
                <w:sz w:val="18"/>
                <w:szCs w:val="18"/>
                <w:lang w:val="en-GB"/>
              </w:rPr>
            </w:pPr>
          </w:p>
        </w:tc>
      </w:tr>
      <w:tr w:rsidR="00341E73" w:rsidRPr="004F384D" w14:paraId="6F9F26A1" w14:textId="77777777" w:rsidTr="1A5EEC20">
        <w:tc>
          <w:tcPr>
            <w:tcW w:w="2067" w:type="dxa"/>
          </w:tcPr>
          <w:p w14:paraId="50695912"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
                <w:bCs/>
                <w:color w:val="000000"/>
                <w:sz w:val="18"/>
                <w:szCs w:val="18"/>
                <w:lang w:val="en-GB"/>
              </w:rPr>
              <w:t>Legal Status</w:t>
            </w:r>
          </w:p>
        </w:tc>
        <w:tc>
          <w:tcPr>
            <w:tcW w:w="5850" w:type="dxa"/>
          </w:tcPr>
          <w:p w14:paraId="748AD576"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Vendor is a legally registered entity.</w:t>
            </w:r>
          </w:p>
        </w:tc>
        <w:tc>
          <w:tcPr>
            <w:tcW w:w="2070" w:type="dxa"/>
          </w:tcPr>
          <w:p w14:paraId="0D2C17F1" w14:textId="77777777" w:rsidR="00341E73" w:rsidRPr="004F384D" w:rsidRDefault="00341E73" w:rsidP="00911B20">
            <w:pPr>
              <w:spacing w:before="60" w:after="60"/>
              <w:rPr>
                <w:rFonts w:asciiTheme="minorHAnsi" w:eastAsia="Times New Roman" w:hAnsiTheme="minorHAnsi" w:cstheme="minorHAnsi"/>
                <w:bCs/>
                <w:sz w:val="18"/>
                <w:szCs w:val="18"/>
                <w:lang w:val="da-DK"/>
              </w:rPr>
            </w:pPr>
            <w:r w:rsidRPr="004F384D">
              <w:rPr>
                <w:rFonts w:asciiTheme="minorHAnsi" w:eastAsia="Times New Roman" w:hAnsiTheme="minorHAnsi" w:cstheme="minorHAnsi"/>
                <w:bCs/>
                <w:sz w:val="18"/>
                <w:szCs w:val="18"/>
                <w:lang w:val="da-DK"/>
              </w:rPr>
              <w:t xml:space="preserve">Form B: Bidder Information Form </w:t>
            </w:r>
          </w:p>
        </w:tc>
      </w:tr>
      <w:tr w:rsidR="00341E73" w:rsidRPr="004F384D" w14:paraId="77AE52C6" w14:textId="77777777" w:rsidTr="1A5EEC20">
        <w:tc>
          <w:tcPr>
            <w:tcW w:w="2067" w:type="dxa"/>
          </w:tcPr>
          <w:p w14:paraId="4799E387"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
                <w:bCs/>
                <w:color w:val="000000"/>
                <w:sz w:val="18"/>
                <w:szCs w:val="18"/>
                <w:lang w:val="en-GB"/>
              </w:rPr>
              <w:t>Eligibility</w:t>
            </w:r>
          </w:p>
        </w:tc>
        <w:tc>
          <w:tcPr>
            <w:tcW w:w="5850" w:type="dxa"/>
          </w:tcPr>
          <w:p w14:paraId="75BA8164"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 xml:space="preserve">Vendor is not suspended, nor debarred, nor otherwise identified as ineligible by any UN Organization or the World Bank Group or any other international Organization in accordance with ITB clause 3. </w:t>
            </w:r>
          </w:p>
        </w:tc>
        <w:tc>
          <w:tcPr>
            <w:tcW w:w="2070" w:type="dxa"/>
          </w:tcPr>
          <w:p w14:paraId="0F02C0E2"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A: Bid Submission Form</w:t>
            </w:r>
          </w:p>
        </w:tc>
      </w:tr>
      <w:tr w:rsidR="00341E73" w:rsidRPr="004F384D" w14:paraId="1B949E16" w14:textId="77777777" w:rsidTr="1A5EEC20">
        <w:tc>
          <w:tcPr>
            <w:tcW w:w="2067" w:type="dxa"/>
          </w:tcPr>
          <w:p w14:paraId="75AA6A5E"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
                <w:bCs/>
                <w:color w:val="000000"/>
                <w:sz w:val="18"/>
                <w:szCs w:val="18"/>
                <w:lang w:val="en-GB"/>
              </w:rPr>
              <w:t>Conflict of Interest</w:t>
            </w:r>
          </w:p>
        </w:tc>
        <w:tc>
          <w:tcPr>
            <w:tcW w:w="5850" w:type="dxa"/>
          </w:tcPr>
          <w:p w14:paraId="25BF7C7B"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 xml:space="preserve">No conflicts of interest in accordance with ITB clause 4. </w:t>
            </w:r>
          </w:p>
        </w:tc>
        <w:tc>
          <w:tcPr>
            <w:tcW w:w="2070" w:type="dxa"/>
          </w:tcPr>
          <w:p w14:paraId="3E17368D"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A: Bid Submission Form</w:t>
            </w:r>
          </w:p>
        </w:tc>
      </w:tr>
      <w:tr w:rsidR="00341E73" w:rsidRPr="004F384D" w14:paraId="5453127B" w14:textId="77777777" w:rsidTr="1A5EEC20">
        <w:tc>
          <w:tcPr>
            <w:tcW w:w="2067" w:type="dxa"/>
          </w:tcPr>
          <w:p w14:paraId="2F8163D2" w14:textId="77777777" w:rsidR="00341E73" w:rsidRPr="004F384D" w:rsidRDefault="00341E73" w:rsidP="00911B20">
            <w:pPr>
              <w:autoSpaceDE w:val="0"/>
              <w:autoSpaceDN w:val="0"/>
              <w:spacing w:before="60" w:after="60"/>
              <w:rPr>
                <w:rFonts w:asciiTheme="minorHAnsi" w:eastAsia="Times New Roman" w:hAnsiTheme="minorHAnsi" w:cstheme="minorHAnsi"/>
                <w:b/>
                <w:bCs/>
                <w:color w:val="000000"/>
                <w:sz w:val="18"/>
                <w:szCs w:val="18"/>
                <w:lang w:val="en-GB"/>
              </w:rPr>
            </w:pPr>
            <w:r w:rsidRPr="004F384D">
              <w:rPr>
                <w:rFonts w:asciiTheme="minorHAnsi" w:eastAsia="Times New Roman" w:hAnsiTheme="minorHAnsi" w:cstheme="minorHAnsi"/>
                <w:b/>
                <w:bCs/>
                <w:color w:val="000000"/>
                <w:sz w:val="18"/>
                <w:szCs w:val="18"/>
                <w:lang w:val="en-GB"/>
              </w:rPr>
              <w:t>Bankruptcy</w:t>
            </w:r>
          </w:p>
        </w:tc>
        <w:tc>
          <w:tcPr>
            <w:tcW w:w="5850" w:type="dxa"/>
          </w:tcPr>
          <w:p w14:paraId="11DF411D"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Has not declared bankruptcy, is not involved in bankruptcy or receivership proceedings, and there is no judgment or pending legal action against the vendor that could impair its operations in the foreseeable future.</w:t>
            </w:r>
          </w:p>
        </w:tc>
        <w:tc>
          <w:tcPr>
            <w:tcW w:w="2070" w:type="dxa"/>
          </w:tcPr>
          <w:p w14:paraId="3CD1B680"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A: Bid Submission Form</w:t>
            </w:r>
          </w:p>
        </w:tc>
      </w:tr>
      <w:tr w:rsidR="00341E73" w:rsidRPr="004F384D" w14:paraId="38F7092A" w14:textId="77777777" w:rsidTr="00826BAB">
        <w:trPr>
          <w:trHeight w:val="2360"/>
        </w:trPr>
        <w:tc>
          <w:tcPr>
            <w:tcW w:w="2067" w:type="dxa"/>
          </w:tcPr>
          <w:p w14:paraId="11F8EB8D" w14:textId="77777777" w:rsidR="00341E73" w:rsidRPr="004F384D" w:rsidRDefault="00341E73" w:rsidP="00911B20">
            <w:pPr>
              <w:autoSpaceDE w:val="0"/>
              <w:autoSpaceDN w:val="0"/>
              <w:spacing w:before="60" w:after="60"/>
              <w:rPr>
                <w:rFonts w:asciiTheme="minorHAnsi" w:eastAsia="Times New Roman" w:hAnsiTheme="minorHAnsi" w:cstheme="minorHAnsi"/>
                <w:b/>
                <w:bCs/>
                <w:color w:val="000000"/>
                <w:sz w:val="18"/>
                <w:szCs w:val="18"/>
                <w:lang w:val="en-GB"/>
              </w:rPr>
            </w:pPr>
            <w:r w:rsidRPr="004F384D">
              <w:rPr>
                <w:rFonts w:asciiTheme="minorHAnsi" w:eastAsia="Times New Roman" w:hAnsiTheme="minorHAnsi" w:cstheme="minorHAnsi"/>
                <w:b/>
                <w:bCs/>
                <w:color w:val="000000"/>
                <w:sz w:val="18"/>
                <w:szCs w:val="18"/>
                <w:lang w:val="en-GB"/>
              </w:rPr>
              <w:t>Certificates and Licenses</w:t>
            </w:r>
          </w:p>
        </w:tc>
        <w:tc>
          <w:tcPr>
            <w:tcW w:w="5850" w:type="dxa"/>
          </w:tcPr>
          <w:p w14:paraId="15714529" w14:textId="77777777" w:rsidR="00341E73" w:rsidRPr="004F384D" w:rsidRDefault="00341E73" w:rsidP="00341E73">
            <w:pPr>
              <w:pStyle w:val="ListParagraph"/>
              <w:widowControl/>
              <w:numPr>
                <w:ilvl w:val="0"/>
                <w:numId w:val="2"/>
              </w:numPr>
              <w:overflowPunct/>
              <w:adjustRightInd/>
              <w:spacing w:line="240" w:lineRule="auto"/>
              <w:ind w:left="176" w:hanging="187"/>
              <w:contextualSpacing w:val="0"/>
              <w:rPr>
                <w:rFonts w:asciiTheme="minorHAnsi" w:hAnsiTheme="minorHAnsi" w:cstheme="minorHAnsi"/>
                <w:color w:val="000000" w:themeColor="text1"/>
                <w:sz w:val="18"/>
                <w:szCs w:val="18"/>
              </w:rPr>
            </w:pPr>
            <w:r w:rsidRPr="004F384D">
              <w:rPr>
                <w:rFonts w:asciiTheme="minorHAnsi" w:hAnsiTheme="minorHAnsi" w:cstheme="minorHAnsi"/>
                <w:color w:val="000000" w:themeColor="text1"/>
                <w:sz w:val="18"/>
                <w:szCs w:val="18"/>
              </w:rPr>
              <w:t xml:space="preserve">    The supplied materials and equipment should be confirmed by quality  </w:t>
            </w:r>
          </w:p>
          <w:p w14:paraId="3576ED91" w14:textId="77777777" w:rsidR="00341E73" w:rsidRPr="004F384D" w:rsidRDefault="00341E73" w:rsidP="00911B20">
            <w:pPr>
              <w:pStyle w:val="ListParagraph"/>
              <w:widowControl/>
              <w:overflowPunct/>
              <w:adjustRightInd/>
              <w:spacing w:line="240" w:lineRule="auto"/>
              <w:ind w:left="176"/>
              <w:contextualSpacing w:val="0"/>
              <w:rPr>
                <w:rFonts w:asciiTheme="minorHAnsi" w:hAnsiTheme="minorHAnsi" w:cstheme="minorHAnsi"/>
                <w:color w:val="000000" w:themeColor="text1"/>
                <w:sz w:val="18"/>
                <w:szCs w:val="18"/>
              </w:rPr>
            </w:pPr>
            <w:r w:rsidRPr="004F384D">
              <w:rPr>
                <w:rFonts w:asciiTheme="minorHAnsi" w:hAnsiTheme="minorHAnsi" w:cstheme="minorHAnsi"/>
                <w:color w:val="000000" w:themeColor="text1"/>
                <w:sz w:val="18"/>
                <w:szCs w:val="18"/>
              </w:rPr>
              <w:t xml:space="preserve">    certificates. </w:t>
            </w:r>
          </w:p>
          <w:p w14:paraId="32C51558" w14:textId="7C139334" w:rsidR="00341E73" w:rsidRPr="004F384D" w:rsidRDefault="00341E73" w:rsidP="1A5EEC20">
            <w:pPr>
              <w:pStyle w:val="ListParagraph"/>
              <w:widowControl/>
              <w:numPr>
                <w:ilvl w:val="0"/>
                <w:numId w:val="2"/>
              </w:numPr>
              <w:overflowPunct/>
              <w:adjustRightInd/>
              <w:spacing w:line="240" w:lineRule="auto"/>
              <w:ind w:left="176" w:hanging="187"/>
              <w:rPr>
                <w:rFonts w:asciiTheme="minorHAnsi" w:hAnsiTheme="minorHAnsi" w:cstheme="minorBidi"/>
                <w:color w:val="000000" w:themeColor="text1"/>
                <w:sz w:val="18"/>
                <w:szCs w:val="18"/>
              </w:rPr>
            </w:pPr>
            <w:r w:rsidRPr="1A5EEC20">
              <w:rPr>
                <w:rFonts w:asciiTheme="minorHAnsi" w:hAnsiTheme="minorHAnsi" w:cstheme="minorBidi"/>
                <w:color w:val="000000" w:themeColor="text1"/>
                <w:sz w:val="18"/>
                <w:szCs w:val="18"/>
              </w:rPr>
              <w:t xml:space="preserve">    The company is an official dealer of the manufacturer (supplier)</w:t>
            </w:r>
          </w:p>
          <w:p w14:paraId="28DD5777" w14:textId="77777777" w:rsidR="006A3668" w:rsidRDefault="006A3668" w:rsidP="00911B20">
            <w:pPr>
              <w:suppressAutoHyphens/>
              <w:jc w:val="both"/>
              <w:rPr>
                <w:rFonts w:asciiTheme="minorHAnsi" w:eastAsia="Calibri" w:hAnsiTheme="minorHAnsi" w:cstheme="minorHAnsi"/>
                <w:bCs/>
                <w:kern w:val="1"/>
                <w:sz w:val="18"/>
                <w:szCs w:val="18"/>
              </w:rPr>
            </w:pPr>
          </w:p>
          <w:p w14:paraId="5F39B809" w14:textId="55A38065" w:rsidR="00341E73" w:rsidRPr="004F384D" w:rsidRDefault="00341E73" w:rsidP="1A5EEC20">
            <w:pPr>
              <w:suppressAutoHyphens/>
              <w:jc w:val="both"/>
              <w:rPr>
                <w:rFonts w:asciiTheme="minorHAnsi" w:eastAsia="Calibri" w:hAnsiTheme="minorHAnsi" w:cstheme="minorBidi"/>
                <w:sz w:val="18"/>
                <w:szCs w:val="18"/>
              </w:rPr>
            </w:pPr>
            <w:r w:rsidRPr="1A5EEC20">
              <w:rPr>
                <w:rFonts w:asciiTheme="minorHAnsi" w:eastAsia="Calibri" w:hAnsiTheme="minorHAnsi" w:cstheme="minorBidi"/>
                <w:kern w:val="1"/>
                <w:sz w:val="18"/>
                <w:szCs w:val="18"/>
              </w:rPr>
              <w:t>Bidder is required to provide a Certificate of Authorization to act on behalf of the Manufacturer (in case the Bidder is not a Manufacturer). If the bidder is not authorized distributor itself, they should additionally provide the packing list and/or other supporting documents confirming the goods were procured from authorized vendor. Also, the proposal may be supported by a Certificate of Origin.</w:t>
            </w:r>
          </w:p>
        </w:tc>
        <w:tc>
          <w:tcPr>
            <w:tcW w:w="2070" w:type="dxa"/>
          </w:tcPr>
          <w:p w14:paraId="44562C87"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B: Bidder Information Form</w:t>
            </w:r>
          </w:p>
        </w:tc>
      </w:tr>
      <w:tr w:rsidR="00341E73" w:rsidRPr="004F384D" w14:paraId="1C631DF1" w14:textId="77777777" w:rsidTr="1A5EEC20">
        <w:trPr>
          <w:trHeight w:val="247"/>
        </w:trPr>
        <w:tc>
          <w:tcPr>
            <w:tcW w:w="2067" w:type="dxa"/>
            <w:shd w:val="clear" w:color="auto" w:fill="9BDEFF"/>
          </w:tcPr>
          <w:p w14:paraId="78276D17"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r w:rsidRPr="004F384D">
              <w:rPr>
                <w:rFonts w:asciiTheme="minorHAnsi" w:eastAsia="Times New Roman" w:hAnsiTheme="minorHAnsi" w:cstheme="minorHAnsi"/>
                <w:b/>
                <w:bCs/>
                <w:sz w:val="18"/>
                <w:szCs w:val="18"/>
                <w:lang w:val="en-GB"/>
              </w:rPr>
              <w:t>QUALIFICATION</w:t>
            </w:r>
          </w:p>
        </w:tc>
        <w:tc>
          <w:tcPr>
            <w:tcW w:w="5850" w:type="dxa"/>
            <w:shd w:val="clear" w:color="auto" w:fill="auto"/>
          </w:tcPr>
          <w:p w14:paraId="1B910D95"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p>
        </w:tc>
        <w:tc>
          <w:tcPr>
            <w:tcW w:w="2070" w:type="dxa"/>
            <w:shd w:val="clear" w:color="auto" w:fill="auto"/>
          </w:tcPr>
          <w:p w14:paraId="26C2DB48"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p>
        </w:tc>
      </w:tr>
      <w:tr w:rsidR="00341E73" w:rsidRPr="004F384D" w14:paraId="37A92332" w14:textId="77777777" w:rsidTr="1A5EEC20">
        <w:trPr>
          <w:trHeight w:val="247"/>
        </w:trPr>
        <w:tc>
          <w:tcPr>
            <w:tcW w:w="2067" w:type="dxa"/>
            <w:shd w:val="clear" w:color="auto" w:fill="FFFFFF" w:themeFill="background1"/>
          </w:tcPr>
          <w:p w14:paraId="218076A7" w14:textId="77777777" w:rsidR="00341E73" w:rsidRPr="004F384D" w:rsidRDefault="00341E73" w:rsidP="00911B20">
            <w:pPr>
              <w:spacing w:before="60" w:after="60"/>
              <w:rPr>
                <w:rFonts w:asciiTheme="minorHAnsi" w:eastAsia="Times New Roman" w:hAnsiTheme="minorHAnsi" w:cstheme="minorHAnsi"/>
                <w:b/>
                <w:bCs/>
                <w:sz w:val="18"/>
                <w:szCs w:val="18"/>
                <w:lang w:val="en-GB"/>
              </w:rPr>
            </w:pPr>
            <w:r w:rsidRPr="004F384D">
              <w:rPr>
                <w:rFonts w:asciiTheme="minorHAnsi" w:eastAsia="Times New Roman" w:hAnsiTheme="minorHAnsi" w:cstheme="minorHAnsi"/>
                <w:b/>
                <w:bCs/>
                <w:sz w:val="18"/>
                <w:szCs w:val="18"/>
                <w:lang w:val="en-GB"/>
              </w:rPr>
              <w:t>History of Non-Performing Contracts</w:t>
            </w:r>
            <w:r w:rsidRPr="004F384D">
              <w:rPr>
                <w:rFonts w:asciiTheme="minorHAnsi" w:eastAsia="Times New Roman" w:hAnsiTheme="minorHAnsi" w:cstheme="minorHAnsi"/>
                <w:b/>
                <w:bCs/>
                <w:sz w:val="18"/>
                <w:szCs w:val="18"/>
                <w:vertAlign w:val="superscript"/>
                <w:lang w:val="en-GB"/>
              </w:rPr>
              <w:footnoteReference w:id="1"/>
            </w:r>
            <w:r w:rsidRPr="004F384D">
              <w:rPr>
                <w:rFonts w:asciiTheme="minorHAnsi" w:eastAsia="Times New Roman" w:hAnsiTheme="minorHAnsi" w:cstheme="minorHAnsi"/>
                <w:b/>
                <w:bCs/>
                <w:sz w:val="18"/>
                <w:szCs w:val="18"/>
                <w:vertAlign w:val="superscript"/>
                <w:lang w:val="en-GB"/>
              </w:rPr>
              <w:t xml:space="preserve"> </w:t>
            </w:r>
          </w:p>
        </w:tc>
        <w:tc>
          <w:tcPr>
            <w:tcW w:w="5850" w:type="dxa"/>
            <w:shd w:val="clear" w:color="auto" w:fill="auto"/>
          </w:tcPr>
          <w:p w14:paraId="58549ED0" w14:textId="77777777" w:rsidR="00341E73" w:rsidRPr="004F384D" w:rsidRDefault="00341E73" w:rsidP="00911B20">
            <w:pPr>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 xml:space="preserve">Non-performance of a contract did not occur </w:t>
            </w:r>
            <w:proofErr w:type="gramStart"/>
            <w:r w:rsidRPr="004F384D">
              <w:rPr>
                <w:rFonts w:asciiTheme="minorHAnsi" w:eastAsia="Times New Roman" w:hAnsiTheme="minorHAnsi" w:cstheme="minorHAnsi"/>
                <w:bCs/>
                <w:color w:val="000000"/>
                <w:sz w:val="18"/>
                <w:szCs w:val="18"/>
                <w:lang w:val="en-GB"/>
              </w:rPr>
              <w:t>as a result of</w:t>
            </w:r>
            <w:proofErr w:type="gramEnd"/>
            <w:r w:rsidRPr="004F384D">
              <w:rPr>
                <w:rFonts w:asciiTheme="minorHAnsi" w:eastAsia="Times New Roman" w:hAnsiTheme="minorHAnsi" w:cstheme="minorHAnsi"/>
                <w:bCs/>
                <w:color w:val="000000"/>
                <w:sz w:val="18"/>
                <w:szCs w:val="18"/>
                <w:lang w:val="en-GB"/>
              </w:rPr>
              <w:t xml:space="preserve"> contractor default for the last 3 years.</w:t>
            </w:r>
          </w:p>
        </w:tc>
        <w:tc>
          <w:tcPr>
            <w:tcW w:w="2070" w:type="dxa"/>
            <w:shd w:val="clear" w:color="auto" w:fill="auto"/>
          </w:tcPr>
          <w:p w14:paraId="415D699A"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r w:rsidRPr="004F384D">
              <w:rPr>
                <w:rFonts w:asciiTheme="minorHAnsi" w:eastAsia="Times New Roman" w:hAnsiTheme="minorHAnsi" w:cstheme="minorHAnsi"/>
                <w:bCs/>
                <w:sz w:val="18"/>
                <w:szCs w:val="18"/>
                <w:lang w:val="en-GB"/>
              </w:rPr>
              <w:br w:type="page"/>
              <w:t>Form D: Qualification Form</w:t>
            </w:r>
          </w:p>
        </w:tc>
      </w:tr>
      <w:tr w:rsidR="00341E73" w:rsidRPr="004F384D" w14:paraId="5923C19B" w14:textId="77777777" w:rsidTr="1A5EEC20">
        <w:trPr>
          <w:trHeight w:val="247"/>
        </w:trPr>
        <w:tc>
          <w:tcPr>
            <w:tcW w:w="2067" w:type="dxa"/>
            <w:shd w:val="clear" w:color="auto" w:fill="FFFFFF" w:themeFill="background1"/>
          </w:tcPr>
          <w:p w14:paraId="6EB7FE5E" w14:textId="77777777" w:rsidR="00341E73" w:rsidRPr="004F384D" w:rsidRDefault="00341E73" w:rsidP="00911B20">
            <w:pPr>
              <w:spacing w:before="60" w:after="60"/>
              <w:rPr>
                <w:rFonts w:asciiTheme="minorHAnsi" w:eastAsia="Times New Roman" w:hAnsiTheme="minorHAnsi" w:cstheme="minorHAnsi"/>
                <w:b/>
                <w:bCs/>
                <w:sz w:val="18"/>
                <w:szCs w:val="18"/>
                <w:lang w:val="en-GB"/>
              </w:rPr>
            </w:pPr>
            <w:r w:rsidRPr="004F384D">
              <w:rPr>
                <w:rFonts w:asciiTheme="minorHAnsi" w:eastAsia="Times New Roman" w:hAnsiTheme="minorHAnsi" w:cstheme="minorHAnsi"/>
                <w:b/>
                <w:bCs/>
                <w:sz w:val="18"/>
                <w:szCs w:val="18"/>
                <w:lang w:val="en-GB"/>
              </w:rPr>
              <w:t>Litigation History</w:t>
            </w:r>
          </w:p>
        </w:tc>
        <w:tc>
          <w:tcPr>
            <w:tcW w:w="5850" w:type="dxa"/>
            <w:shd w:val="clear" w:color="auto" w:fill="auto"/>
          </w:tcPr>
          <w:p w14:paraId="23A647BF" w14:textId="77777777" w:rsidR="00341E73" w:rsidRPr="004F384D" w:rsidRDefault="00341E73" w:rsidP="00911B20">
            <w:pPr>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 xml:space="preserve">No consistent history of court/arbitral award decisions against the Bidder for the last 3 years. </w:t>
            </w:r>
          </w:p>
        </w:tc>
        <w:tc>
          <w:tcPr>
            <w:tcW w:w="2070" w:type="dxa"/>
            <w:shd w:val="clear" w:color="auto" w:fill="auto"/>
          </w:tcPr>
          <w:p w14:paraId="3D1B3DEF"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r w:rsidRPr="004F384D">
              <w:rPr>
                <w:rFonts w:asciiTheme="minorHAnsi" w:eastAsia="Times New Roman" w:hAnsiTheme="minorHAnsi" w:cstheme="minorHAnsi"/>
                <w:bCs/>
                <w:sz w:val="18"/>
                <w:szCs w:val="18"/>
                <w:lang w:val="en-GB"/>
              </w:rPr>
              <w:br w:type="page"/>
              <w:t>Form D: Qualification Form</w:t>
            </w:r>
          </w:p>
        </w:tc>
      </w:tr>
      <w:tr w:rsidR="00341E73" w:rsidRPr="004F384D" w14:paraId="4D92C28F" w14:textId="77777777" w:rsidTr="1A5EEC20">
        <w:trPr>
          <w:trHeight w:val="562"/>
        </w:trPr>
        <w:tc>
          <w:tcPr>
            <w:tcW w:w="2067" w:type="dxa"/>
          </w:tcPr>
          <w:p w14:paraId="4BC73199"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
                <w:bCs/>
                <w:sz w:val="18"/>
                <w:szCs w:val="18"/>
                <w:lang w:val="en-GB"/>
              </w:rPr>
              <w:lastRenderedPageBreak/>
              <w:t>Previous Experience</w:t>
            </w:r>
          </w:p>
        </w:tc>
        <w:tc>
          <w:tcPr>
            <w:tcW w:w="5850" w:type="dxa"/>
          </w:tcPr>
          <w:p w14:paraId="4E2FCB2F" w14:textId="583FD459" w:rsidR="00341E73" w:rsidRPr="004F384D" w:rsidRDefault="0E41379E" w:rsidP="1A5EEC20">
            <w:pPr>
              <w:spacing w:before="60" w:after="60"/>
            </w:pPr>
            <w:r w:rsidRPr="1A5EEC20">
              <w:rPr>
                <w:rFonts w:ascii="Calibri" w:eastAsia="Calibri" w:hAnsi="Calibri" w:cs="Calibri"/>
                <w:sz w:val="18"/>
                <w:szCs w:val="18"/>
                <w:lang w:val="en-GB"/>
              </w:rPr>
              <w:t>At least 5 (five) years of experience in the field of supply of similar products.</w:t>
            </w:r>
          </w:p>
          <w:p w14:paraId="33C68FB4" w14:textId="44179BFB" w:rsidR="00341E73" w:rsidRPr="004F384D" w:rsidRDefault="0E41379E" w:rsidP="1A5EEC20">
            <w:pPr>
              <w:spacing w:before="60" w:after="60"/>
            </w:pPr>
            <w:r w:rsidRPr="1A5EEC20">
              <w:rPr>
                <w:rFonts w:ascii="Segoe UI" w:eastAsia="Segoe UI" w:hAnsi="Segoe UI" w:cs="Segoe UI"/>
                <w:color w:val="333333"/>
                <w:sz w:val="18"/>
                <w:szCs w:val="18"/>
                <w:lang w:val="en-GB"/>
              </w:rPr>
              <w:t>Minimum 2 contracts of similar value, nature and complexity implemented over the past 3 years</w:t>
            </w:r>
          </w:p>
        </w:tc>
        <w:tc>
          <w:tcPr>
            <w:tcW w:w="2070" w:type="dxa"/>
          </w:tcPr>
          <w:p w14:paraId="6383AD0D"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D: Qualification Form</w:t>
            </w:r>
          </w:p>
        </w:tc>
      </w:tr>
      <w:tr w:rsidR="1A5EEC20" w14:paraId="6633BE84" w14:textId="77777777" w:rsidTr="1A5EEC20">
        <w:trPr>
          <w:trHeight w:val="300"/>
        </w:trPr>
        <w:tc>
          <w:tcPr>
            <w:tcW w:w="2067" w:type="dxa"/>
            <w:shd w:val="clear" w:color="auto" w:fill="D5DCE4" w:themeFill="text2" w:themeFillTint="33"/>
          </w:tcPr>
          <w:p w14:paraId="0F81EE43" w14:textId="568DA9C7" w:rsidR="592F1775" w:rsidRDefault="592F1775" w:rsidP="1A5EEC20">
            <w:pPr>
              <w:rPr>
                <w:rFonts w:ascii="Calibri" w:eastAsia="Calibri" w:hAnsi="Calibri" w:cs="Calibri"/>
                <w:sz w:val="18"/>
                <w:szCs w:val="18"/>
                <w:lang w:val="en-GB"/>
              </w:rPr>
            </w:pPr>
            <w:r w:rsidRPr="1A5EEC20">
              <w:rPr>
                <w:rFonts w:ascii="Calibri" w:eastAsia="Calibri" w:hAnsi="Calibri" w:cs="Calibri"/>
                <w:b/>
                <w:bCs/>
                <w:sz w:val="18"/>
                <w:szCs w:val="18"/>
                <w:lang w:val="en-GB"/>
              </w:rPr>
              <w:t>Financial standing</w:t>
            </w:r>
          </w:p>
        </w:tc>
        <w:tc>
          <w:tcPr>
            <w:tcW w:w="5850" w:type="dxa"/>
          </w:tcPr>
          <w:p w14:paraId="1BA1D401" w14:textId="5A955780" w:rsidR="592F1775" w:rsidRDefault="592F1775">
            <w:r w:rsidRPr="1A5EEC20">
              <w:rPr>
                <w:rFonts w:ascii="Calibri" w:eastAsia="Calibri" w:hAnsi="Calibri" w:cs="Calibri"/>
                <w:sz w:val="18"/>
                <w:szCs w:val="18"/>
                <w:lang w:val="en-GB"/>
              </w:rPr>
              <w:t xml:space="preserve">Minimum average annual turnover of US$ 8,000,000 for the past 3 years </w:t>
            </w:r>
          </w:p>
          <w:p w14:paraId="6A6DE0C8" w14:textId="149896FF" w:rsidR="592F1775" w:rsidRDefault="592F1775">
            <w:r w:rsidRPr="1A5EEC20">
              <w:rPr>
                <w:rFonts w:ascii="Calibri" w:eastAsia="Calibri" w:hAnsi="Calibri" w:cs="Calibri"/>
                <w:sz w:val="18"/>
                <w:szCs w:val="18"/>
                <w:lang w:val="en-GB"/>
              </w:rPr>
              <w:t xml:space="preserve">Bidder must demonstrate the current soundness of its financial standing and indicate its prospective long-term profitability. </w:t>
            </w:r>
          </w:p>
          <w:p w14:paraId="73E30341" w14:textId="5E307324" w:rsidR="592F1775" w:rsidRDefault="592F1775" w:rsidP="1A5EEC20">
            <w:pPr>
              <w:rPr>
                <w:rFonts w:ascii="Calibri" w:eastAsia="Calibri" w:hAnsi="Calibri" w:cs="Calibri"/>
                <w:sz w:val="18"/>
                <w:szCs w:val="18"/>
              </w:rPr>
            </w:pPr>
            <w:r w:rsidRPr="1A5EEC20">
              <w:rPr>
                <w:rFonts w:ascii="Calibri" w:eastAsia="Calibri" w:hAnsi="Calibri" w:cs="Calibri"/>
                <w:sz w:val="18"/>
                <w:szCs w:val="18"/>
                <w:lang w:val="en-GB"/>
              </w:rPr>
              <w:t>UNDP reserves the right to verify financial capacity of the bidder and seek references from concerned parties &amp; banks on the bidder’ financial standing.</w:t>
            </w:r>
          </w:p>
        </w:tc>
        <w:tc>
          <w:tcPr>
            <w:tcW w:w="2070" w:type="dxa"/>
          </w:tcPr>
          <w:p w14:paraId="51B522EE" w14:textId="5E2803A9" w:rsidR="1A5EEC20" w:rsidRDefault="1A5EEC20" w:rsidP="1A5EEC20">
            <w:pPr>
              <w:rPr>
                <w:rFonts w:asciiTheme="minorHAnsi" w:eastAsia="Times New Roman" w:hAnsiTheme="minorHAnsi" w:cstheme="minorBidi"/>
                <w:sz w:val="18"/>
                <w:szCs w:val="18"/>
                <w:lang w:val="en-GB"/>
              </w:rPr>
            </w:pPr>
          </w:p>
        </w:tc>
      </w:tr>
      <w:tr w:rsidR="00341E73" w:rsidRPr="004F384D" w14:paraId="74CFFD0F" w14:textId="77777777" w:rsidTr="1A5EEC20">
        <w:tc>
          <w:tcPr>
            <w:tcW w:w="2067" w:type="dxa"/>
            <w:shd w:val="clear" w:color="auto" w:fill="D5DCE4" w:themeFill="text2" w:themeFillTint="33"/>
          </w:tcPr>
          <w:p w14:paraId="123EC4F0" w14:textId="77777777" w:rsidR="00341E73" w:rsidRPr="004F384D" w:rsidRDefault="00341E73" w:rsidP="00911B20">
            <w:pPr>
              <w:spacing w:before="60" w:after="60"/>
              <w:rPr>
                <w:rFonts w:asciiTheme="minorHAnsi" w:eastAsia="Times New Roman" w:hAnsiTheme="minorHAnsi" w:cstheme="minorHAnsi"/>
                <w:b/>
                <w:bCs/>
                <w:sz w:val="18"/>
                <w:szCs w:val="18"/>
                <w:lang w:val="en-GB"/>
              </w:rPr>
            </w:pPr>
            <w:r w:rsidRPr="004F384D">
              <w:rPr>
                <w:rFonts w:asciiTheme="minorHAnsi" w:eastAsia="Times New Roman" w:hAnsiTheme="minorHAnsi" w:cstheme="minorHAnsi"/>
                <w:b/>
                <w:bCs/>
                <w:sz w:val="18"/>
                <w:szCs w:val="18"/>
                <w:lang w:val="en-GB"/>
              </w:rPr>
              <w:t>Technical Evaluation</w:t>
            </w:r>
          </w:p>
        </w:tc>
        <w:tc>
          <w:tcPr>
            <w:tcW w:w="5850" w:type="dxa"/>
          </w:tcPr>
          <w:p w14:paraId="0D15EEA0" w14:textId="77777777" w:rsidR="00341E73" w:rsidRPr="004F384D" w:rsidRDefault="00341E73" w:rsidP="00911B20">
            <w:pPr>
              <w:widowControl/>
              <w:overflowPunct/>
              <w:adjustRightInd/>
              <w:spacing w:before="100" w:beforeAutospacing="1" w:after="100" w:afterAutospacing="1"/>
              <w:rPr>
                <w:rFonts w:asciiTheme="minorHAnsi" w:eastAsia="Times New Roman" w:hAnsiTheme="minorHAnsi" w:cstheme="minorHAnsi"/>
                <w:color w:val="000000"/>
                <w:kern w:val="0"/>
                <w:sz w:val="18"/>
                <w:szCs w:val="18"/>
              </w:rPr>
            </w:pPr>
            <w:r w:rsidRPr="004F384D">
              <w:rPr>
                <w:rFonts w:asciiTheme="minorHAnsi" w:eastAsia="Times New Roman" w:hAnsiTheme="minorHAnsi" w:cstheme="minorHAnsi"/>
                <w:color w:val="000000"/>
                <w:kern w:val="0"/>
                <w:sz w:val="18"/>
                <w:szCs w:val="18"/>
              </w:rPr>
              <w:t xml:space="preserve">The technical bids shall be evaluated on a pass/fail basis for compliance or non-compliance with the technical specifications identified in the bid document. </w:t>
            </w:r>
          </w:p>
        </w:tc>
        <w:tc>
          <w:tcPr>
            <w:tcW w:w="2070" w:type="dxa"/>
          </w:tcPr>
          <w:p w14:paraId="1D7035E3"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E: Technical Bid Form</w:t>
            </w:r>
          </w:p>
        </w:tc>
      </w:tr>
      <w:tr w:rsidR="00341E73" w:rsidRPr="004F384D" w14:paraId="67B147A5" w14:textId="77777777" w:rsidTr="1A5EEC20">
        <w:tc>
          <w:tcPr>
            <w:tcW w:w="2067" w:type="dxa"/>
            <w:shd w:val="clear" w:color="auto" w:fill="D5DCE4" w:themeFill="text2" w:themeFillTint="33"/>
          </w:tcPr>
          <w:p w14:paraId="6A2C201C" w14:textId="77777777" w:rsidR="00341E73" w:rsidRPr="004F384D" w:rsidRDefault="00341E73" w:rsidP="00911B20">
            <w:pPr>
              <w:spacing w:before="60" w:after="60"/>
              <w:rPr>
                <w:rFonts w:asciiTheme="minorHAnsi" w:eastAsia="Times New Roman" w:hAnsiTheme="minorHAnsi" w:cstheme="minorHAnsi"/>
                <w:b/>
                <w:bCs/>
                <w:sz w:val="18"/>
                <w:szCs w:val="18"/>
                <w:lang w:val="en-GB"/>
              </w:rPr>
            </w:pPr>
            <w:r w:rsidRPr="004F384D">
              <w:rPr>
                <w:rFonts w:asciiTheme="minorHAnsi" w:eastAsia="Times New Roman" w:hAnsiTheme="minorHAnsi" w:cstheme="minorHAnsi"/>
                <w:b/>
                <w:bCs/>
                <w:sz w:val="18"/>
                <w:szCs w:val="18"/>
                <w:lang w:val="en-GB"/>
              </w:rPr>
              <w:t>Financial Evaluation</w:t>
            </w:r>
          </w:p>
        </w:tc>
        <w:tc>
          <w:tcPr>
            <w:tcW w:w="5850" w:type="dxa"/>
          </w:tcPr>
          <w:p w14:paraId="39D8AF29" w14:textId="7E84D18B" w:rsidR="00341E73" w:rsidRPr="004F384D" w:rsidRDefault="00341E73" w:rsidP="1A5EEC20">
            <w:pPr>
              <w:widowControl/>
              <w:overflowPunct/>
              <w:adjustRightInd/>
              <w:spacing w:before="60" w:after="60"/>
              <w:rPr>
                <w:rFonts w:asciiTheme="minorHAnsi" w:eastAsia="Times New Roman" w:hAnsiTheme="minorHAnsi" w:cstheme="minorBidi"/>
                <w:color w:val="000000"/>
                <w:kern w:val="0"/>
                <w:sz w:val="18"/>
                <w:szCs w:val="18"/>
              </w:rPr>
            </w:pPr>
            <w:r w:rsidRPr="1A5EEC20">
              <w:rPr>
                <w:rFonts w:asciiTheme="minorHAnsi" w:eastAsia="Times New Roman" w:hAnsiTheme="minorHAnsi" w:cstheme="minorBidi"/>
                <w:color w:val="000000"/>
                <w:kern w:val="0"/>
                <w:sz w:val="18"/>
                <w:szCs w:val="18"/>
              </w:rPr>
              <w:t>Detailed analysis of the price schedule based on requirements listed in Section 5 and quoted for by the bidders in Form F.</w:t>
            </w:r>
          </w:p>
          <w:p w14:paraId="48C47B54" w14:textId="77777777" w:rsidR="00341E73" w:rsidRPr="004F384D" w:rsidRDefault="00341E73" w:rsidP="00911B20">
            <w:pPr>
              <w:widowControl/>
              <w:overflowPunct/>
              <w:adjustRightInd/>
              <w:spacing w:before="60" w:after="60"/>
              <w:rPr>
                <w:rFonts w:asciiTheme="minorHAnsi" w:eastAsia="Times New Roman" w:hAnsiTheme="minorHAnsi" w:cstheme="minorHAnsi"/>
                <w:color w:val="000000"/>
                <w:kern w:val="0"/>
                <w:sz w:val="18"/>
                <w:szCs w:val="18"/>
              </w:rPr>
            </w:pPr>
            <w:r w:rsidRPr="004F384D">
              <w:rPr>
                <w:rFonts w:asciiTheme="minorHAnsi" w:eastAsia="Times New Roman" w:hAnsiTheme="minorHAnsi" w:cstheme="minorHAnsi"/>
                <w:color w:val="000000"/>
                <w:kern w:val="0"/>
                <w:sz w:val="18"/>
                <w:szCs w:val="18"/>
              </w:rPr>
              <w:t xml:space="preserve">Price comparison shall be based on the landed price, including transportation, </w:t>
            </w:r>
            <w:proofErr w:type="gramStart"/>
            <w:r w:rsidRPr="004F384D">
              <w:rPr>
                <w:rFonts w:asciiTheme="minorHAnsi" w:eastAsia="Times New Roman" w:hAnsiTheme="minorHAnsi" w:cstheme="minorHAnsi"/>
                <w:color w:val="000000"/>
                <w:kern w:val="0"/>
                <w:sz w:val="18"/>
                <w:szCs w:val="18"/>
              </w:rPr>
              <w:t>insurance</w:t>
            </w:r>
            <w:proofErr w:type="gramEnd"/>
            <w:r w:rsidRPr="004F384D">
              <w:rPr>
                <w:rFonts w:asciiTheme="minorHAnsi" w:eastAsia="Times New Roman" w:hAnsiTheme="minorHAnsi" w:cstheme="minorHAnsi"/>
                <w:color w:val="000000"/>
                <w:kern w:val="0"/>
                <w:sz w:val="18"/>
                <w:szCs w:val="18"/>
              </w:rPr>
              <w:t xml:space="preserve"> and the total cost of ownership (including spare parts, consumption, installation, commissioning, training, special packaging, etc., where applicable)</w:t>
            </w:r>
          </w:p>
          <w:p w14:paraId="6229CBF9" w14:textId="77777777" w:rsidR="00341E73" w:rsidRPr="004F384D" w:rsidRDefault="00341E73" w:rsidP="1A5EEC20">
            <w:pPr>
              <w:widowControl/>
              <w:overflowPunct/>
              <w:adjustRightInd/>
              <w:spacing w:before="60" w:after="60"/>
              <w:rPr>
                <w:rFonts w:asciiTheme="minorHAnsi" w:eastAsia="Times New Roman" w:hAnsiTheme="minorHAnsi" w:cstheme="minorBidi"/>
                <w:color w:val="000000" w:themeColor="text1"/>
                <w:sz w:val="18"/>
                <w:szCs w:val="18"/>
              </w:rPr>
            </w:pPr>
            <w:r w:rsidRPr="1A5EEC20">
              <w:rPr>
                <w:rFonts w:asciiTheme="minorHAnsi" w:eastAsia="Times New Roman" w:hAnsiTheme="minorHAnsi" w:cstheme="minorBidi"/>
                <w:color w:val="000000"/>
                <w:kern w:val="0"/>
                <w:sz w:val="18"/>
                <w:szCs w:val="18"/>
              </w:rPr>
              <w:t>Comparison with budget/internal estimates.</w:t>
            </w:r>
          </w:p>
          <w:p w14:paraId="0AFD9F42" w14:textId="5BDEE25A" w:rsidR="00341E73" w:rsidRPr="004F384D" w:rsidRDefault="00341E73" w:rsidP="1A5EEC20">
            <w:pPr>
              <w:widowControl/>
              <w:overflowPunct/>
              <w:adjustRightInd/>
              <w:spacing w:before="60" w:after="60"/>
              <w:rPr>
                <w:rFonts w:asciiTheme="minorHAnsi" w:eastAsia="Times New Roman" w:hAnsiTheme="minorHAnsi" w:cstheme="minorBidi"/>
                <w:color w:val="000000" w:themeColor="text1"/>
                <w:sz w:val="18"/>
                <w:szCs w:val="18"/>
              </w:rPr>
            </w:pPr>
          </w:p>
          <w:p w14:paraId="0086D294" w14:textId="26DC1852"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en-GB"/>
              </w:rPr>
              <w:t xml:space="preserve">UNDP reserves the right to award the contract to the responsive bidder that is found to be significantly “more superior” in terms of delivery period even if the price is higher than the lowest priced compliant offer so long as the price is not higher than 20%. </w:t>
            </w:r>
            <w:proofErr w:type="gramStart"/>
            <w:r w:rsidRPr="1A5EEC20">
              <w:rPr>
                <w:rFonts w:ascii="Calibri" w:eastAsia="Calibri" w:hAnsi="Calibri" w:cs="Calibri"/>
                <w:color w:val="000000" w:themeColor="text1"/>
                <w:sz w:val="18"/>
                <w:szCs w:val="18"/>
                <w:lang w:val="en-GB"/>
              </w:rPr>
              <w:t>In order to</w:t>
            </w:r>
            <w:proofErr w:type="gramEnd"/>
            <w:r w:rsidRPr="1A5EEC20">
              <w:rPr>
                <w:rFonts w:ascii="Calibri" w:eastAsia="Calibri" w:hAnsi="Calibri" w:cs="Calibri"/>
                <w:color w:val="000000" w:themeColor="text1"/>
                <w:sz w:val="18"/>
                <w:szCs w:val="18"/>
                <w:lang w:val="en-GB"/>
              </w:rPr>
              <w:t xml:space="preserve"> evaluate the superiority of bids in terms of delivery period UNDP will calculate “evaluated bid prices” using the multipliers below. “Evaluated bid prices” will be used only for evaluation purposes. Evaluated bid price will be calculated by multiplying Bidder’s price proposal (Section 8) with the multiplier corresponding to the bidder’s delivery period, as </w:t>
            </w:r>
            <w:proofErr w:type="gramStart"/>
            <w:r w:rsidRPr="1A5EEC20">
              <w:rPr>
                <w:rFonts w:ascii="Calibri" w:eastAsia="Calibri" w:hAnsi="Calibri" w:cs="Calibri"/>
                <w:color w:val="000000" w:themeColor="text1"/>
                <w:sz w:val="18"/>
                <w:szCs w:val="18"/>
                <w:lang w:val="en-GB"/>
              </w:rPr>
              <w:t>indicated</w:t>
            </w:r>
            <w:proofErr w:type="gramEnd"/>
            <w:r w:rsidRPr="1A5EEC20">
              <w:rPr>
                <w:rFonts w:ascii="Calibri" w:eastAsia="Calibri" w:hAnsi="Calibri" w:cs="Calibri"/>
                <w:color w:val="000000" w:themeColor="text1"/>
                <w:sz w:val="18"/>
                <w:szCs w:val="18"/>
                <w:lang w:val="en-GB"/>
              </w:rPr>
              <w:t xml:space="preserve"> and committed in Price Schedule Form.</w:t>
            </w:r>
          </w:p>
          <w:p w14:paraId="12E7699F" w14:textId="4D2C08E0" w:rsidR="00341E73" w:rsidRPr="004F384D" w:rsidRDefault="72F90CB4" w:rsidP="00911B20">
            <w:pPr>
              <w:widowControl/>
              <w:overflowPunct/>
              <w:adjustRightInd/>
              <w:spacing w:before="60" w:after="60"/>
            </w:pPr>
            <w:r w:rsidRPr="1A5EEC20">
              <w:rPr>
                <w:rFonts w:ascii="Calibri" w:eastAsia="Calibri" w:hAnsi="Calibri" w:cs="Calibri"/>
                <w:color w:val="000000" w:themeColor="text1"/>
                <w:sz w:val="18"/>
                <w:szCs w:val="18"/>
              </w:rPr>
              <w:t xml:space="preserve"> </w:t>
            </w:r>
          </w:p>
          <w:tbl>
            <w:tblPr>
              <w:tblW w:w="0" w:type="auto"/>
              <w:tblLook w:val="04A0" w:firstRow="1" w:lastRow="0" w:firstColumn="1" w:lastColumn="0" w:noHBand="0" w:noVBand="1"/>
            </w:tblPr>
            <w:tblGrid>
              <w:gridCol w:w="2400"/>
              <w:gridCol w:w="990"/>
            </w:tblGrid>
            <w:tr w:rsidR="1A5EEC20" w14:paraId="76AA2FA1" w14:textId="77777777" w:rsidTr="1A5EEC20">
              <w:trPr>
                <w:trHeight w:val="255"/>
              </w:trPr>
              <w:tc>
                <w:tcPr>
                  <w:tcW w:w="2400" w:type="dxa"/>
                  <w:tcBorders>
                    <w:top w:val="single" w:sz="8" w:space="0" w:color="auto"/>
                    <w:left w:val="single" w:sz="8" w:space="0" w:color="auto"/>
                    <w:bottom w:val="single" w:sz="8" w:space="0" w:color="auto"/>
                    <w:right w:val="single" w:sz="8" w:space="0" w:color="auto"/>
                  </w:tcBorders>
                  <w:vAlign w:val="center"/>
                </w:tcPr>
                <w:p w14:paraId="66603542" w14:textId="0368622E" w:rsidR="1A5EEC20" w:rsidRDefault="1A5EEC20" w:rsidP="1A5EEC20">
                  <w:pPr>
                    <w:jc w:val="both"/>
                  </w:pPr>
                  <w:r w:rsidRPr="1A5EEC20">
                    <w:rPr>
                      <w:rFonts w:ascii="Calibri" w:eastAsia="Calibri" w:hAnsi="Calibri" w:cs="Calibri"/>
                      <w:color w:val="000000" w:themeColor="text1"/>
                      <w:sz w:val="18"/>
                      <w:szCs w:val="18"/>
                      <w:lang w:val="uk"/>
                    </w:rPr>
                    <w:t>Proposed delivery period</w:t>
                  </w:r>
                </w:p>
              </w:tc>
              <w:tc>
                <w:tcPr>
                  <w:tcW w:w="990" w:type="dxa"/>
                  <w:tcBorders>
                    <w:top w:val="single" w:sz="8" w:space="0" w:color="auto"/>
                    <w:left w:val="single" w:sz="8" w:space="0" w:color="auto"/>
                    <w:bottom w:val="single" w:sz="8" w:space="0" w:color="auto"/>
                    <w:right w:val="single" w:sz="8" w:space="0" w:color="auto"/>
                  </w:tcBorders>
                  <w:vAlign w:val="center"/>
                </w:tcPr>
                <w:p w14:paraId="6A507546" w14:textId="7D1C1F70" w:rsidR="1A5EEC20" w:rsidRDefault="1A5EEC20" w:rsidP="1A5EEC20">
                  <w:pPr>
                    <w:jc w:val="both"/>
                  </w:pPr>
                  <w:r w:rsidRPr="1A5EEC20">
                    <w:rPr>
                      <w:rFonts w:ascii="Calibri" w:eastAsia="Calibri" w:hAnsi="Calibri" w:cs="Calibri"/>
                      <w:color w:val="000000" w:themeColor="text1"/>
                      <w:sz w:val="18"/>
                      <w:szCs w:val="18"/>
                      <w:lang w:val="uk"/>
                    </w:rPr>
                    <w:t>Multiplier</w:t>
                  </w:r>
                </w:p>
              </w:tc>
            </w:tr>
            <w:tr w:rsidR="1A5EEC20" w14:paraId="0F27386A" w14:textId="77777777" w:rsidTr="1A5EEC20">
              <w:trPr>
                <w:trHeight w:val="45"/>
              </w:trPr>
              <w:tc>
                <w:tcPr>
                  <w:tcW w:w="2400" w:type="dxa"/>
                  <w:tcBorders>
                    <w:top w:val="single" w:sz="8" w:space="0" w:color="auto"/>
                    <w:left w:val="single" w:sz="8" w:space="0" w:color="auto"/>
                    <w:bottom w:val="single" w:sz="8" w:space="0" w:color="auto"/>
                    <w:right w:val="single" w:sz="8" w:space="0" w:color="auto"/>
                  </w:tcBorders>
                  <w:vAlign w:val="center"/>
                </w:tcPr>
                <w:p w14:paraId="2A542093" w14:textId="6423EF6B" w:rsidR="274925F2" w:rsidRDefault="274925F2" w:rsidP="1A5EEC20">
                  <w:pPr>
                    <w:jc w:val="both"/>
                    <w:rPr>
                      <w:rFonts w:ascii="Calibri" w:eastAsia="Calibri" w:hAnsi="Calibri" w:cs="Calibri"/>
                      <w:color w:val="000000" w:themeColor="text1"/>
                      <w:sz w:val="18"/>
                      <w:szCs w:val="18"/>
                      <w:lang w:val="uk"/>
                    </w:rPr>
                  </w:pPr>
                  <w:r w:rsidRPr="1A5EEC20">
                    <w:rPr>
                      <w:rFonts w:ascii="Calibri" w:eastAsia="Calibri" w:hAnsi="Calibri" w:cs="Calibri"/>
                      <w:color w:val="000000" w:themeColor="text1"/>
                      <w:sz w:val="18"/>
                      <w:szCs w:val="18"/>
                    </w:rPr>
                    <w:t>5</w:t>
                  </w:r>
                  <w:r w:rsidR="1A5EEC20" w:rsidRPr="1A5EEC20">
                    <w:rPr>
                      <w:rFonts w:ascii="Calibri" w:eastAsia="Calibri" w:hAnsi="Calibri" w:cs="Calibri"/>
                      <w:color w:val="000000" w:themeColor="text1"/>
                      <w:sz w:val="18"/>
                      <w:szCs w:val="18"/>
                    </w:rPr>
                    <w:t>0</w:t>
                  </w:r>
                  <w:r w:rsidR="1A5EEC20" w:rsidRPr="1A5EEC20">
                    <w:rPr>
                      <w:rFonts w:ascii="Calibri" w:eastAsia="Calibri" w:hAnsi="Calibri" w:cs="Calibri"/>
                      <w:color w:val="000000" w:themeColor="text1"/>
                      <w:sz w:val="18"/>
                      <w:szCs w:val="18"/>
                      <w:lang w:val="uk"/>
                    </w:rPr>
                    <w:t xml:space="preserve"> days or less</w:t>
                  </w:r>
                </w:p>
              </w:tc>
              <w:tc>
                <w:tcPr>
                  <w:tcW w:w="990" w:type="dxa"/>
                  <w:tcBorders>
                    <w:top w:val="single" w:sz="8" w:space="0" w:color="auto"/>
                    <w:left w:val="single" w:sz="8" w:space="0" w:color="auto"/>
                    <w:bottom w:val="single" w:sz="8" w:space="0" w:color="auto"/>
                    <w:right w:val="single" w:sz="8" w:space="0" w:color="auto"/>
                  </w:tcBorders>
                  <w:vAlign w:val="center"/>
                </w:tcPr>
                <w:p w14:paraId="387E556F" w14:textId="2F1C51AD" w:rsidR="1A5EEC20" w:rsidRDefault="1A5EEC20" w:rsidP="1A5EEC20">
                  <w:pPr>
                    <w:jc w:val="both"/>
                  </w:pPr>
                  <w:r w:rsidRPr="1A5EEC20">
                    <w:rPr>
                      <w:rFonts w:ascii="Calibri" w:eastAsia="Calibri" w:hAnsi="Calibri" w:cs="Calibri"/>
                      <w:color w:val="000000" w:themeColor="text1"/>
                      <w:sz w:val="18"/>
                      <w:szCs w:val="18"/>
                      <w:lang w:val="uk"/>
                    </w:rPr>
                    <w:t>0.80</w:t>
                  </w:r>
                </w:p>
              </w:tc>
            </w:tr>
            <w:tr w:rsidR="1A5EEC20" w14:paraId="2D0AF6A9" w14:textId="77777777" w:rsidTr="1A5EEC20">
              <w:trPr>
                <w:trHeight w:val="255"/>
              </w:trPr>
              <w:tc>
                <w:tcPr>
                  <w:tcW w:w="2400" w:type="dxa"/>
                  <w:tcBorders>
                    <w:top w:val="single" w:sz="8" w:space="0" w:color="auto"/>
                    <w:left w:val="single" w:sz="8" w:space="0" w:color="auto"/>
                    <w:bottom w:val="single" w:sz="8" w:space="0" w:color="auto"/>
                    <w:right w:val="single" w:sz="8" w:space="0" w:color="auto"/>
                  </w:tcBorders>
                  <w:vAlign w:val="center"/>
                </w:tcPr>
                <w:p w14:paraId="74219B88" w14:textId="12BE2064" w:rsidR="4010AF64" w:rsidRDefault="4010AF64" w:rsidP="1A5EEC20">
                  <w:pPr>
                    <w:jc w:val="both"/>
                    <w:rPr>
                      <w:rFonts w:ascii="Calibri" w:eastAsia="Calibri" w:hAnsi="Calibri" w:cs="Calibri"/>
                      <w:color w:val="000000" w:themeColor="text1"/>
                      <w:sz w:val="18"/>
                      <w:szCs w:val="18"/>
                      <w:lang w:val="uk"/>
                    </w:rPr>
                  </w:pPr>
                  <w:r w:rsidRPr="1A5EEC20">
                    <w:rPr>
                      <w:rFonts w:ascii="Calibri" w:eastAsia="Calibri" w:hAnsi="Calibri" w:cs="Calibri"/>
                      <w:color w:val="000000" w:themeColor="text1"/>
                      <w:sz w:val="18"/>
                      <w:szCs w:val="18"/>
                    </w:rPr>
                    <w:t>5</w:t>
                  </w:r>
                  <w:r w:rsidR="1A5EEC20" w:rsidRPr="1A5EEC20">
                    <w:rPr>
                      <w:rFonts w:ascii="Calibri" w:eastAsia="Calibri" w:hAnsi="Calibri" w:cs="Calibri"/>
                      <w:color w:val="000000" w:themeColor="text1"/>
                      <w:sz w:val="18"/>
                      <w:szCs w:val="18"/>
                    </w:rPr>
                    <w:t>1-</w:t>
                  </w:r>
                  <w:r w:rsidR="3DE6EC8C" w:rsidRPr="1A5EEC20">
                    <w:rPr>
                      <w:rFonts w:ascii="Calibri" w:eastAsia="Calibri" w:hAnsi="Calibri" w:cs="Calibri"/>
                      <w:color w:val="000000" w:themeColor="text1"/>
                      <w:sz w:val="18"/>
                      <w:szCs w:val="18"/>
                    </w:rPr>
                    <w:t xml:space="preserve"> </w:t>
                  </w:r>
                  <w:r w:rsidR="686532E0" w:rsidRPr="1A5EEC20">
                    <w:rPr>
                      <w:rFonts w:ascii="Calibri" w:eastAsia="Calibri" w:hAnsi="Calibri" w:cs="Calibri"/>
                      <w:color w:val="000000" w:themeColor="text1"/>
                      <w:sz w:val="18"/>
                      <w:szCs w:val="18"/>
                    </w:rPr>
                    <w:t>6</w:t>
                  </w:r>
                  <w:r w:rsidR="0FB06B97" w:rsidRPr="1A5EEC20">
                    <w:rPr>
                      <w:rFonts w:ascii="Calibri" w:eastAsia="Calibri" w:hAnsi="Calibri" w:cs="Calibri"/>
                      <w:color w:val="000000" w:themeColor="text1"/>
                      <w:sz w:val="18"/>
                      <w:szCs w:val="18"/>
                    </w:rPr>
                    <w:t>5</w:t>
                  </w:r>
                  <w:r w:rsidR="1A5EEC20" w:rsidRPr="1A5EEC20">
                    <w:rPr>
                      <w:rFonts w:ascii="Calibri" w:eastAsia="Calibri" w:hAnsi="Calibri" w:cs="Calibri"/>
                      <w:color w:val="000000" w:themeColor="text1"/>
                      <w:sz w:val="18"/>
                      <w:szCs w:val="18"/>
                      <w:lang w:val="uk"/>
                    </w:rPr>
                    <w:t xml:space="preserve"> days</w:t>
                  </w:r>
                </w:p>
              </w:tc>
              <w:tc>
                <w:tcPr>
                  <w:tcW w:w="990" w:type="dxa"/>
                  <w:tcBorders>
                    <w:top w:val="single" w:sz="8" w:space="0" w:color="auto"/>
                    <w:left w:val="single" w:sz="8" w:space="0" w:color="auto"/>
                    <w:bottom w:val="single" w:sz="8" w:space="0" w:color="auto"/>
                    <w:right w:val="single" w:sz="8" w:space="0" w:color="auto"/>
                  </w:tcBorders>
                  <w:vAlign w:val="center"/>
                </w:tcPr>
                <w:p w14:paraId="790971A8" w14:textId="54D07072" w:rsidR="1A5EEC20" w:rsidRDefault="1A5EEC20" w:rsidP="1A5EEC20">
                  <w:pPr>
                    <w:jc w:val="both"/>
                  </w:pPr>
                  <w:r w:rsidRPr="1A5EEC20">
                    <w:rPr>
                      <w:rFonts w:ascii="Calibri" w:eastAsia="Calibri" w:hAnsi="Calibri" w:cs="Calibri"/>
                      <w:color w:val="000000" w:themeColor="text1"/>
                      <w:sz w:val="18"/>
                      <w:szCs w:val="18"/>
                      <w:lang w:val="uk"/>
                    </w:rPr>
                    <w:t>0.85</w:t>
                  </w:r>
                </w:p>
              </w:tc>
            </w:tr>
            <w:tr w:rsidR="1A5EEC20" w14:paraId="3327E922" w14:textId="77777777" w:rsidTr="1A5EEC20">
              <w:trPr>
                <w:trHeight w:val="255"/>
              </w:trPr>
              <w:tc>
                <w:tcPr>
                  <w:tcW w:w="2400" w:type="dxa"/>
                  <w:tcBorders>
                    <w:top w:val="single" w:sz="8" w:space="0" w:color="auto"/>
                    <w:left w:val="single" w:sz="8" w:space="0" w:color="auto"/>
                    <w:bottom w:val="single" w:sz="8" w:space="0" w:color="auto"/>
                    <w:right w:val="single" w:sz="8" w:space="0" w:color="auto"/>
                  </w:tcBorders>
                  <w:vAlign w:val="center"/>
                </w:tcPr>
                <w:p w14:paraId="7CF215BE" w14:textId="434B205C" w:rsidR="4E34514B" w:rsidRDefault="4E34514B" w:rsidP="1A5EEC20">
                  <w:pPr>
                    <w:jc w:val="both"/>
                    <w:rPr>
                      <w:rFonts w:ascii="Calibri" w:eastAsia="Calibri" w:hAnsi="Calibri" w:cs="Calibri"/>
                      <w:color w:val="000000" w:themeColor="text1"/>
                      <w:sz w:val="18"/>
                      <w:szCs w:val="18"/>
                      <w:lang w:val="uk"/>
                    </w:rPr>
                  </w:pPr>
                  <w:r w:rsidRPr="1A5EEC20">
                    <w:rPr>
                      <w:rFonts w:ascii="Calibri" w:eastAsia="Calibri" w:hAnsi="Calibri" w:cs="Calibri"/>
                      <w:color w:val="000000" w:themeColor="text1"/>
                      <w:sz w:val="18"/>
                      <w:szCs w:val="18"/>
                    </w:rPr>
                    <w:t>66</w:t>
                  </w:r>
                  <w:r w:rsidR="1A5EEC20" w:rsidRPr="1A5EEC20">
                    <w:rPr>
                      <w:rFonts w:ascii="Calibri" w:eastAsia="Calibri" w:hAnsi="Calibri" w:cs="Calibri"/>
                      <w:color w:val="000000" w:themeColor="text1"/>
                      <w:sz w:val="18"/>
                      <w:szCs w:val="18"/>
                      <w:lang w:val="uk"/>
                    </w:rPr>
                    <w:t>-</w:t>
                  </w:r>
                  <w:r w:rsidR="7C8BD1BD" w:rsidRPr="1A5EEC20">
                    <w:rPr>
                      <w:rFonts w:ascii="Calibri" w:eastAsia="Calibri" w:hAnsi="Calibri" w:cs="Calibri"/>
                      <w:color w:val="000000" w:themeColor="text1"/>
                      <w:sz w:val="18"/>
                      <w:szCs w:val="18"/>
                      <w:lang w:val="uk"/>
                    </w:rPr>
                    <w:t>80</w:t>
                  </w:r>
                  <w:r w:rsidR="1A5EEC20" w:rsidRPr="1A5EEC20">
                    <w:rPr>
                      <w:rFonts w:ascii="Calibri" w:eastAsia="Calibri" w:hAnsi="Calibri" w:cs="Calibri"/>
                      <w:color w:val="000000" w:themeColor="text1"/>
                      <w:sz w:val="18"/>
                      <w:szCs w:val="18"/>
                      <w:lang w:val="uk"/>
                    </w:rPr>
                    <w:t xml:space="preserve"> days</w:t>
                  </w:r>
                </w:p>
              </w:tc>
              <w:tc>
                <w:tcPr>
                  <w:tcW w:w="990" w:type="dxa"/>
                  <w:tcBorders>
                    <w:top w:val="single" w:sz="8" w:space="0" w:color="auto"/>
                    <w:left w:val="single" w:sz="8" w:space="0" w:color="auto"/>
                    <w:bottom w:val="single" w:sz="8" w:space="0" w:color="auto"/>
                    <w:right w:val="single" w:sz="8" w:space="0" w:color="auto"/>
                  </w:tcBorders>
                  <w:vAlign w:val="center"/>
                </w:tcPr>
                <w:p w14:paraId="3DBEDB67" w14:textId="52014980" w:rsidR="1A5EEC20" w:rsidRDefault="1A5EEC20" w:rsidP="1A5EEC20">
                  <w:pPr>
                    <w:jc w:val="both"/>
                  </w:pPr>
                  <w:r w:rsidRPr="1A5EEC20">
                    <w:rPr>
                      <w:rFonts w:ascii="Calibri" w:eastAsia="Calibri" w:hAnsi="Calibri" w:cs="Calibri"/>
                      <w:color w:val="000000" w:themeColor="text1"/>
                      <w:sz w:val="18"/>
                      <w:szCs w:val="18"/>
                      <w:lang w:val="uk"/>
                    </w:rPr>
                    <w:t>0.</w:t>
                  </w:r>
                  <w:r w:rsidRPr="1A5EEC20">
                    <w:rPr>
                      <w:rFonts w:ascii="Calibri" w:eastAsia="Calibri" w:hAnsi="Calibri" w:cs="Calibri"/>
                      <w:color w:val="000000" w:themeColor="text1"/>
                      <w:sz w:val="18"/>
                      <w:szCs w:val="18"/>
                    </w:rPr>
                    <w:t>90</w:t>
                  </w:r>
                </w:p>
              </w:tc>
            </w:tr>
            <w:tr w:rsidR="1A5EEC20" w14:paraId="4250E2B9" w14:textId="77777777" w:rsidTr="1A5EEC20">
              <w:trPr>
                <w:trHeight w:val="255"/>
              </w:trPr>
              <w:tc>
                <w:tcPr>
                  <w:tcW w:w="2400" w:type="dxa"/>
                  <w:tcBorders>
                    <w:top w:val="single" w:sz="8" w:space="0" w:color="auto"/>
                    <w:left w:val="single" w:sz="8" w:space="0" w:color="auto"/>
                    <w:bottom w:val="single" w:sz="8" w:space="0" w:color="auto"/>
                    <w:right w:val="single" w:sz="8" w:space="0" w:color="auto"/>
                  </w:tcBorders>
                  <w:vAlign w:val="center"/>
                </w:tcPr>
                <w:p w14:paraId="79B8B2E9" w14:textId="02F8C79F" w:rsidR="14B62D86" w:rsidRDefault="14B62D86" w:rsidP="1A5EEC20">
                  <w:pPr>
                    <w:jc w:val="both"/>
                    <w:rPr>
                      <w:rFonts w:ascii="Calibri" w:eastAsia="Calibri" w:hAnsi="Calibri" w:cs="Calibri"/>
                      <w:color w:val="000000" w:themeColor="text1"/>
                      <w:sz w:val="18"/>
                      <w:szCs w:val="18"/>
                      <w:lang w:val="uk"/>
                    </w:rPr>
                  </w:pPr>
                  <w:r w:rsidRPr="1A5EEC20">
                    <w:rPr>
                      <w:rFonts w:ascii="Calibri" w:eastAsia="Calibri" w:hAnsi="Calibri" w:cs="Calibri"/>
                      <w:color w:val="000000" w:themeColor="text1"/>
                      <w:sz w:val="18"/>
                      <w:szCs w:val="18"/>
                    </w:rPr>
                    <w:t>81</w:t>
                  </w:r>
                  <w:r w:rsidR="1A5EEC20" w:rsidRPr="1A5EEC20">
                    <w:rPr>
                      <w:rFonts w:ascii="Calibri" w:eastAsia="Calibri" w:hAnsi="Calibri" w:cs="Calibri"/>
                      <w:color w:val="000000" w:themeColor="text1"/>
                      <w:sz w:val="18"/>
                      <w:szCs w:val="18"/>
                      <w:lang w:val="uk"/>
                    </w:rPr>
                    <w:t>-</w:t>
                  </w:r>
                  <w:r w:rsidR="422D0647" w:rsidRPr="1A5EEC20">
                    <w:rPr>
                      <w:rFonts w:ascii="Calibri" w:eastAsia="Calibri" w:hAnsi="Calibri" w:cs="Calibri"/>
                      <w:color w:val="000000" w:themeColor="text1"/>
                      <w:sz w:val="18"/>
                      <w:szCs w:val="18"/>
                      <w:lang w:val="uk"/>
                    </w:rPr>
                    <w:t>95</w:t>
                  </w:r>
                  <w:r w:rsidR="1A5EEC20" w:rsidRPr="1A5EEC20">
                    <w:rPr>
                      <w:rFonts w:ascii="Calibri" w:eastAsia="Calibri" w:hAnsi="Calibri" w:cs="Calibri"/>
                      <w:color w:val="000000" w:themeColor="text1"/>
                      <w:sz w:val="18"/>
                      <w:szCs w:val="18"/>
                      <w:lang w:val="uk"/>
                    </w:rPr>
                    <w:t xml:space="preserve"> days</w:t>
                  </w:r>
                </w:p>
              </w:tc>
              <w:tc>
                <w:tcPr>
                  <w:tcW w:w="990" w:type="dxa"/>
                  <w:tcBorders>
                    <w:top w:val="single" w:sz="8" w:space="0" w:color="auto"/>
                    <w:left w:val="single" w:sz="8" w:space="0" w:color="auto"/>
                    <w:bottom w:val="single" w:sz="8" w:space="0" w:color="auto"/>
                    <w:right w:val="single" w:sz="8" w:space="0" w:color="auto"/>
                  </w:tcBorders>
                  <w:vAlign w:val="center"/>
                </w:tcPr>
                <w:p w14:paraId="160D6D31" w14:textId="6BF25CD2" w:rsidR="1A5EEC20" w:rsidRDefault="1A5EEC20" w:rsidP="1A5EEC20">
                  <w:pPr>
                    <w:jc w:val="both"/>
                  </w:pPr>
                  <w:r w:rsidRPr="1A5EEC20">
                    <w:rPr>
                      <w:rFonts w:ascii="Calibri" w:eastAsia="Calibri" w:hAnsi="Calibri" w:cs="Calibri"/>
                      <w:color w:val="000000" w:themeColor="text1"/>
                      <w:sz w:val="18"/>
                      <w:szCs w:val="18"/>
                      <w:lang w:val="uk"/>
                    </w:rPr>
                    <w:t>0.95</w:t>
                  </w:r>
                </w:p>
              </w:tc>
            </w:tr>
            <w:tr w:rsidR="1A5EEC20" w14:paraId="156627C8" w14:textId="77777777" w:rsidTr="1A5EEC20">
              <w:trPr>
                <w:trHeight w:val="45"/>
              </w:trPr>
              <w:tc>
                <w:tcPr>
                  <w:tcW w:w="2400" w:type="dxa"/>
                  <w:tcBorders>
                    <w:top w:val="single" w:sz="8" w:space="0" w:color="auto"/>
                    <w:left w:val="single" w:sz="8" w:space="0" w:color="auto"/>
                    <w:bottom w:val="single" w:sz="8" w:space="0" w:color="auto"/>
                    <w:right w:val="single" w:sz="8" w:space="0" w:color="auto"/>
                  </w:tcBorders>
                  <w:vAlign w:val="center"/>
                </w:tcPr>
                <w:p w14:paraId="70DFB629" w14:textId="01BDAA75" w:rsidR="534D7678" w:rsidRPr="00826BAB" w:rsidRDefault="534D7678" w:rsidP="1A5EEC20">
                  <w:pPr>
                    <w:jc w:val="both"/>
                    <w:rPr>
                      <w:rFonts w:ascii="Calibri" w:eastAsia="Calibri" w:hAnsi="Calibri" w:cs="Calibri"/>
                      <w:color w:val="000000" w:themeColor="text1"/>
                      <w:sz w:val="18"/>
                      <w:szCs w:val="18"/>
                    </w:rPr>
                  </w:pPr>
                  <w:r w:rsidRPr="00826BAB">
                    <w:rPr>
                      <w:rFonts w:ascii="Calibri" w:eastAsia="Calibri" w:hAnsi="Calibri" w:cs="Calibri"/>
                      <w:color w:val="000000" w:themeColor="text1"/>
                      <w:sz w:val="18"/>
                      <w:szCs w:val="18"/>
                    </w:rPr>
                    <w:t>9</w:t>
                  </w:r>
                  <w:r w:rsidR="1A5EEC20" w:rsidRPr="00826BAB">
                    <w:rPr>
                      <w:rFonts w:ascii="Calibri" w:eastAsia="Calibri" w:hAnsi="Calibri" w:cs="Calibri"/>
                      <w:color w:val="000000" w:themeColor="text1"/>
                      <w:sz w:val="18"/>
                      <w:szCs w:val="18"/>
                    </w:rPr>
                    <w:t>6-</w:t>
                  </w:r>
                  <w:r w:rsidR="06AF5C71" w:rsidRPr="00826BAB">
                    <w:rPr>
                      <w:rFonts w:ascii="Calibri" w:eastAsia="Calibri" w:hAnsi="Calibri" w:cs="Calibri"/>
                      <w:color w:val="000000" w:themeColor="text1"/>
                      <w:sz w:val="18"/>
                      <w:szCs w:val="18"/>
                    </w:rPr>
                    <w:t>11</w:t>
                  </w:r>
                  <w:r w:rsidR="1A5EEC20" w:rsidRPr="00826BAB">
                    <w:rPr>
                      <w:rFonts w:ascii="Calibri" w:eastAsia="Calibri" w:hAnsi="Calibri" w:cs="Calibri"/>
                      <w:color w:val="000000" w:themeColor="text1"/>
                      <w:sz w:val="18"/>
                      <w:szCs w:val="18"/>
                    </w:rPr>
                    <w:t>0 days</w:t>
                  </w:r>
                </w:p>
              </w:tc>
              <w:tc>
                <w:tcPr>
                  <w:tcW w:w="990" w:type="dxa"/>
                  <w:tcBorders>
                    <w:top w:val="single" w:sz="8" w:space="0" w:color="auto"/>
                    <w:left w:val="single" w:sz="8" w:space="0" w:color="auto"/>
                    <w:bottom w:val="single" w:sz="8" w:space="0" w:color="auto"/>
                    <w:right w:val="single" w:sz="8" w:space="0" w:color="auto"/>
                  </w:tcBorders>
                  <w:vAlign w:val="center"/>
                </w:tcPr>
                <w:p w14:paraId="6F283830" w14:textId="24B649E0" w:rsidR="1A5EEC20" w:rsidRDefault="1A5EEC20" w:rsidP="1A5EEC20">
                  <w:pPr>
                    <w:jc w:val="both"/>
                  </w:pPr>
                  <w:r w:rsidRPr="1A5EEC20">
                    <w:rPr>
                      <w:rFonts w:ascii="Calibri" w:eastAsia="Calibri" w:hAnsi="Calibri" w:cs="Calibri"/>
                      <w:color w:val="000000" w:themeColor="text1"/>
                      <w:sz w:val="18"/>
                      <w:szCs w:val="18"/>
                      <w:lang w:val="uk"/>
                    </w:rPr>
                    <w:t>1.00</w:t>
                  </w:r>
                </w:p>
              </w:tc>
            </w:tr>
          </w:tbl>
          <w:p w14:paraId="476BBB9A" w14:textId="1A3DB959" w:rsidR="00341E73" w:rsidRPr="004F384D" w:rsidRDefault="72F90CB4" w:rsidP="00911B20">
            <w:pPr>
              <w:widowControl/>
              <w:overflowPunct/>
              <w:adjustRightInd/>
              <w:spacing w:before="60" w:after="60"/>
            </w:pPr>
            <w:r w:rsidRPr="1A5EEC20">
              <w:rPr>
                <w:rFonts w:ascii="Calibri" w:eastAsia="Calibri" w:hAnsi="Calibri" w:cs="Calibri"/>
                <w:color w:val="000000" w:themeColor="text1"/>
                <w:sz w:val="18"/>
                <w:szCs w:val="18"/>
              </w:rPr>
              <w:t xml:space="preserve"> </w:t>
            </w:r>
          </w:p>
          <w:p w14:paraId="296E3626" w14:textId="13ED8031"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Example: This example is provided by using hypothetical figures to provide clarity.</w:t>
            </w:r>
          </w:p>
          <w:p w14:paraId="0547E6C9" w14:textId="3CFEE86B"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Bidder 1 - ACB:</w:t>
            </w:r>
          </w:p>
          <w:p w14:paraId="3609F457" w14:textId="02866805"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 xml:space="preserve">Delivery date: </w:t>
            </w:r>
            <w:r w:rsidR="5C986EB5" w:rsidRPr="1A5EEC20">
              <w:rPr>
                <w:rFonts w:ascii="Calibri" w:eastAsia="Calibri" w:hAnsi="Calibri" w:cs="Calibri"/>
                <w:color w:val="000000" w:themeColor="text1"/>
                <w:sz w:val="18"/>
                <w:szCs w:val="18"/>
              </w:rPr>
              <w:t>11</w:t>
            </w:r>
            <w:r w:rsidRPr="1A5EEC20">
              <w:rPr>
                <w:rFonts w:ascii="Calibri" w:eastAsia="Calibri" w:hAnsi="Calibri" w:cs="Calibri"/>
                <w:color w:val="000000" w:themeColor="text1"/>
                <w:sz w:val="18"/>
                <w:szCs w:val="18"/>
              </w:rPr>
              <w:t xml:space="preserve">0 days </w:t>
            </w:r>
          </w:p>
          <w:p w14:paraId="0E9FB674" w14:textId="212A14B5"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Price: $100</w:t>
            </w:r>
          </w:p>
          <w:p w14:paraId="71FB4FE9" w14:textId="345858C7"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Evaluated bid price: $100 x 1.00 = $100</w:t>
            </w:r>
          </w:p>
          <w:p w14:paraId="112D093A" w14:textId="66CF6088"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 xml:space="preserve"> </w:t>
            </w:r>
          </w:p>
          <w:p w14:paraId="3443D38A" w14:textId="772246E9"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Bidder 2 - XYZ:</w:t>
            </w:r>
          </w:p>
          <w:p w14:paraId="2DDEFA09" w14:textId="5962E43A"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 xml:space="preserve">Delivery date: </w:t>
            </w:r>
            <w:r w:rsidR="1BD29651" w:rsidRPr="1A5EEC20">
              <w:rPr>
                <w:rFonts w:ascii="Calibri" w:eastAsia="Calibri" w:hAnsi="Calibri" w:cs="Calibri"/>
                <w:color w:val="000000" w:themeColor="text1"/>
                <w:sz w:val="18"/>
                <w:szCs w:val="18"/>
              </w:rPr>
              <w:t>5</w:t>
            </w:r>
            <w:r w:rsidRPr="1A5EEC20">
              <w:rPr>
                <w:rFonts w:ascii="Calibri" w:eastAsia="Calibri" w:hAnsi="Calibri" w:cs="Calibri"/>
                <w:color w:val="000000" w:themeColor="text1"/>
                <w:sz w:val="18"/>
                <w:szCs w:val="18"/>
              </w:rPr>
              <w:t xml:space="preserve">0 days </w:t>
            </w:r>
          </w:p>
          <w:p w14:paraId="29C7CD0E" w14:textId="213D7F89"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Price: $110</w:t>
            </w:r>
          </w:p>
          <w:p w14:paraId="15BB952C" w14:textId="3D1EE2CE"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lang w:val="uk"/>
              </w:rPr>
              <w:t>Evaluated bid price: $110 x 0.8</w:t>
            </w:r>
            <w:r w:rsidRPr="1A5EEC20">
              <w:rPr>
                <w:rFonts w:ascii="Calibri" w:eastAsia="Calibri" w:hAnsi="Calibri" w:cs="Calibri"/>
                <w:color w:val="000000" w:themeColor="text1"/>
                <w:sz w:val="18"/>
                <w:szCs w:val="18"/>
              </w:rPr>
              <w:t>0</w:t>
            </w:r>
            <w:r w:rsidRPr="1A5EEC20">
              <w:rPr>
                <w:rFonts w:ascii="Calibri" w:eastAsia="Calibri" w:hAnsi="Calibri" w:cs="Calibri"/>
                <w:color w:val="000000" w:themeColor="text1"/>
                <w:sz w:val="18"/>
                <w:szCs w:val="18"/>
                <w:lang w:val="uk"/>
              </w:rPr>
              <w:t xml:space="preserve"> = $</w:t>
            </w:r>
            <w:r w:rsidRPr="1A5EEC20">
              <w:rPr>
                <w:rFonts w:ascii="Calibri" w:eastAsia="Calibri" w:hAnsi="Calibri" w:cs="Calibri"/>
                <w:color w:val="000000" w:themeColor="text1"/>
                <w:sz w:val="18"/>
                <w:szCs w:val="18"/>
              </w:rPr>
              <w:t>88.00</w:t>
            </w:r>
          </w:p>
          <w:p w14:paraId="7E57BA0D" w14:textId="26008E53" w:rsidR="00341E73" w:rsidRPr="004F384D" w:rsidRDefault="72F90CB4" w:rsidP="1A5EEC20">
            <w:pPr>
              <w:widowControl/>
              <w:overflowPunct/>
              <w:adjustRightInd/>
              <w:spacing w:before="60" w:after="60"/>
              <w:jc w:val="both"/>
            </w:pPr>
            <w:r w:rsidRPr="1A5EEC20">
              <w:rPr>
                <w:rFonts w:ascii="Calibri" w:eastAsia="Calibri" w:hAnsi="Calibri" w:cs="Calibri"/>
                <w:color w:val="000000" w:themeColor="text1"/>
                <w:sz w:val="18"/>
                <w:szCs w:val="18"/>
              </w:rPr>
              <w:t xml:space="preserve"> </w:t>
            </w:r>
          </w:p>
          <w:p w14:paraId="34BC31A3" w14:textId="09D58CC1" w:rsidR="00341E73" w:rsidRPr="004F384D" w:rsidRDefault="72F90CB4" w:rsidP="1A5EEC20">
            <w:pPr>
              <w:widowControl/>
              <w:overflowPunct/>
              <w:adjustRightInd/>
              <w:spacing w:before="60" w:after="60"/>
              <w:rPr>
                <w:rFonts w:ascii="Calibri" w:eastAsia="Calibri" w:hAnsi="Calibri" w:cs="Calibri"/>
                <w:kern w:val="0"/>
                <w:sz w:val="18"/>
                <w:szCs w:val="18"/>
              </w:rPr>
            </w:pPr>
            <w:r w:rsidRPr="1A5EEC20">
              <w:rPr>
                <w:rFonts w:ascii="Calibri" w:eastAsia="Calibri" w:hAnsi="Calibri" w:cs="Calibri"/>
                <w:color w:val="000000" w:themeColor="text1"/>
                <w:sz w:val="18"/>
                <w:szCs w:val="18"/>
                <w:lang w:val="uk"/>
              </w:rPr>
              <w:t>In such case, UNDP may consider awarding contract to Bidder 2 even if the price offered by Bidder 2 is higher than that of Bidder 1.</w:t>
            </w:r>
          </w:p>
        </w:tc>
        <w:tc>
          <w:tcPr>
            <w:tcW w:w="2070" w:type="dxa"/>
          </w:tcPr>
          <w:p w14:paraId="32C9182D"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F: Price Schedule Form</w:t>
            </w:r>
          </w:p>
        </w:tc>
      </w:tr>
    </w:tbl>
    <w:p w14:paraId="2DC300C1" w14:textId="312EB33D" w:rsidR="009561E0" w:rsidRPr="00891356" w:rsidRDefault="009561E0" w:rsidP="4545A7E6">
      <w:pPr>
        <w:suppressAutoHyphens/>
        <w:rPr>
          <w:rFonts w:asciiTheme="minorHAnsi" w:hAnsiTheme="minorHAnsi" w:cstheme="minorBidi"/>
          <w:b/>
          <w:bCs/>
          <w:color w:val="000000" w:themeColor="text1"/>
          <w:sz w:val="18"/>
          <w:szCs w:val="18"/>
          <w:u w:val="single"/>
        </w:rPr>
      </w:pPr>
    </w:p>
    <w:p w14:paraId="46D5D22A" w14:textId="21386BD9" w:rsidR="12467F70" w:rsidRDefault="12467F70" w:rsidP="17B9E41E">
      <w:pPr>
        <w:jc w:val="both"/>
      </w:pPr>
      <w:r w:rsidRPr="1A5EEC20">
        <w:rPr>
          <w:rFonts w:ascii="Calibri" w:eastAsia="Calibri" w:hAnsi="Calibri" w:cs="Calibri"/>
          <w:i/>
          <w:iCs/>
          <w:color w:val="000000" w:themeColor="text1"/>
          <w:sz w:val="22"/>
          <w:szCs w:val="22"/>
          <w:lang w:val="en-GB"/>
        </w:rPr>
        <w:t xml:space="preserve"> </w:t>
      </w:r>
    </w:p>
    <w:sectPr w:rsidR="12467F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6FABA" w14:textId="77777777" w:rsidR="001D49EC" w:rsidRDefault="001D49EC" w:rsidP="00341E73">
      <w:r>
        <w:separator/>
      </w:r>
    </w:p>
  </w:endnote>
  <w:endnote w:type="continuationSeparator" w:id="0">
    <w:p w14:paraId="6DD03E88" w14:textId="77777777" w:rsidR="001D49EC" w:rsidRDefault="001D49EC" w:rsidP="0034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E73F4" w14:textId="77777777" w:rsidR="001D49EC" w:rsidRDefault="001D49EC" w:rsidP="00341E73">
      <w:r>
        <w:separator/>
      </w:r>
    </w:p>
  </w:footnote>
  <w:footnote w:type="continuationSeparator" w:id="0">
    <w:p w14:paraId="1A2ED65B" w14:textId="77777777" w:rsidR="001D49EC" w:rsidRDefault="001D49EC" w:rsidP="00341E73">
      <w:r>
        <w:continuationSeparator/>
      </w:r>
    </w:p>
  </w:footnote>
  <w:footnote w:id="1">
    <w:p w14:paraId="50B4CB06" w14:textId="77777777" w:rsidR="00341E73" w:rsidRPr="00E90BC8" w:rsidRDefault="00341E73" w:rsidP="00341E73">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 xml:space="preserve">performance must be based on all information on fully settled disputes or litigation, </w:t>
      </w:r>
      <w:proofErr w:type="gramStart"/>
      <w:r w:rsidRPr="00E90BC8">
        <w:rPr>
          <w:rFonts w:ascii="Segoe UI" w:hAnsi="Segoe UI" w:cs="Segoe UI"/>
          <w:sz w:val="16"/>
        </w:rPr>
        <w:t>i.e.</w:t>
      </w:r>
      <w:proofErr w:type="gramEnd"/>
      <w:r w:rsidRPr="00E90BC8">
        <w:rPr>
          <w:rFonts w:ascii="Segoe UI" w:hAnsi="Segoe UI" w:cs="Segoe UI"/>
          <w:sz w:val="16"/>
        </w:rPr>
        <w:t xml:space="preserve"> dispute or litigation that has been resolved in accordance with the dispute resolution mechanism under the respective contract and where all appeal instances available to the Bidder have been exhausted.</w:t>
      </w:r>
      <w:r>
        <w:rPr>
          <w:rFonts w:ascii="Segoe UI" w:hAnsi="Segoe UI" w:cs="Segoe UI"/>
          <w:sz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8428915">
    <w:abstractNumId w:val="0"/>
  </w:num>
  <w:num w:numId="2" w16cid:durableId="91320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E73"/>
    <w:rsid w:val="001D49EC"/>
    <w:rsid w:val="00341E73"/>
    <w:rsid w:val="003A4ABB"/>
    <w:rsid w:val="003E6386"/>
    <w:rsid w:val="0047200C"/>
    <w:rsid w:val="00553D31"/>
    <w:rsid w:val="006A3668"/>
    <w:rsid w:val="00826BAB"/>
    <w:rsid w:val="00891356"/>
    <w:rsid w:val="009561E0"/>
    <w:rsid w:val="00A45FB8"/>
    <w:rsid w:val="00BB0315"/>
    <w:rsid w:val="00D86F48"/>
    <w:rsid w:val="06AF5C71"/>
    <w:rsid w:val="0E41379E"/>
    <w:rsid w:val="0FB06B97"/>
    <w:rsid w:val="12467F70"/>
    <w:rsid w:val="14B62D86"/>
    <w:rsid w:val="17B9E41E"/>
    <w:rsid w:val="1A35523A"/>
    <w:rsid w:val="1A5EEC20"/>
    <w:rsid w:val="1AFE758B"/>
    <w:rsid w:val="1BB18245"/>
    <w:rsid w:val="1BD29651"/>
    <w:rsid w:val="1C2C9F41"/>
    <w:rsid w:val="1D6CF2FC"/>
    <w:rsid w:val="2073C6E4"/>
    <w:rsid w:val="274925F2"/>
    <w:rsid w:val="2BF45DEF"/>
    <w:rsid w:val="2FE74FD9"/>
    <w:rsid w:val="321DA6DB"/>
    <w:rsid w:val="3731E692"/>
    <w:rsid w:val="3A698754"/>
    <w:rsid w:val="3DE6EC8C"/>
    <w:rsid w:val="4010AF64"/>
    <w:rsid w:val="40BFA07B"/>
    <w:rsid w:val="422D0647"/>
    <w:rsid w:val="4545A7E6"/>
    <w:rsid w:val="4686D491"/>
    <w:rsid w:val="4889EAF2"/>
    <w:rsid w:val="4AAA4AC0"/>
    <w:rsid w:val="4E34514B"/>
    <w:rsid w:val="4ED689F8"/>
    <w:rsid w:val="5053F6BE"/>
    <w:rsid w:val="534D7678"/>
    <w:rsid w:val="592F1775"/>
    <w:rsid w:val="5C986EB5"/>
    <w:rsid w:val="62BA4598"/>
    <w:rsid w:val="686532E0"/>
    <w:rsid w:val="726BE532"/>
    <w:rsid w:val="72F90CB4"/>
    <w:rsid w:val="7C8BD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16BC"/>
  <w15:chartTrackingRefBased/>
  <w15:docId w15:val="{3849DE62-5B2A-46A0-957E-614F281B2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E73"/>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341E73"/>
    <w:pPr>
      <w:keepNext/>
      <w:keepLines/>
      <w:spacing w:before="480"/>
      <w:outlineLvl w:val="0"/>
    </w:pPr>
    <w:rPr>
      <w:rFonts w:ascii="Gill Sans MT" w:hAnsi="Gill Sans MT" w:cs="Arial"/>
      <w:bCs/>
      <w:caps/>
      <w:noProof/>
      <w:color w:val="000080"/>
      <w:spacing w:val="32"/>
      <w:kern w:val="32"/>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E73"/>
    <w:rPr>
      <w:rFonts w:ascii="Gill Sans MT" w:eastAsiaTheme="minorEastAsia" w:hAnsi="Gill Sans MT" w:cs="Arial"/>
      <w:bCs/>
      <w:caps/>
      <w:noProof/>
      <w:color w:val="000080"/>
      <w:spacing w:val="32"/>
      <w:kern w:val="32"/>
      <w:sz w:val="32"/>
      <w:szCs w:val="28"/>
    </w:rPr>
  </w:style>
  <w:style w:type="paragraph" w:styleId="ListParagraph">
    <w:name w:val="List Paragraph"/>
    <w:aliases w:val="List Paragraph (numbered (a)),WB Para,paragraph,normal,Normal1,Normal2,Normal3,Normal4,Normal5,Normal6,Normal7,Lapis Bulleted List,Абзац списка1,Bullets,List 100s,Project Profile name,Dot pt,3,L,List Paragraph1,Naslov 1,Bullet Points,lp1"/>
    <w:basedOn w:val="Normal"/>
    <w:link w:val="ListParagraphChar"/>
    <w:qFormat/>
    <w:rsid w:val="00341E73"/>
    <w:pPr>
      <w:spacing w:line="360" w:lineRule="auto"/>
      <w:ind w:left="720"/>
      <w:contextualSpacing/>
    </w:pPr>
    <w:rPr>
      <w:sz w:val="22"/>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basedOn w:val="DefaultParagraphFont"/>
    <w:link w:val="16Point"/>
    <w:rsid w:val="00341E73"/>
    <w:rPr>
      <w:vertAlign w:val="superscript"/>
    </w:rPr>
  </w:style>
  <w:style w:type="character" w:styleId="Hyperlink">
    <w:name w:val="Hyperlink"/>
    <w:basedOn w:val="DefaultParagraphFont"/>
    <w:unhideWhenUsed/>
    <w:rsid w:val="00341E73"/>
    <w:rPr>
      <w:color w:val="0563C1" w:themeColor="hyperlink"/>
      <w:u w:val="single"/>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w:basedOn w:val="Normal"/>
    <w:link w:val="FootnoteTextChar"/>
    <w:rsid w:val="00341E73"/>
    <w:pPr>
      <w:overflowPunct/>
      <w:adjustRightInd/>
    </w:pPr>
    <w:rPr>
      <w:rFonts w:ascii="CG Times" w:eastAsia="Times New Roman" w:hAnsi="CG Times"/>
      <w:kern w:val="0"/>
      <w:szCs w:val="20"/>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rsid w:val="00341E73"/>
    <w:rPr>
      <w:rFonts w:ascii="CG Times" w:eastAsia="Times New Roman" w:hAnsi="CG Times" w:cs="Times New Roman"/>
      <w:sz w:val="24"/>
      <w:szCs w:val="20"/>
    </w:rPr>
  </w:style>
  <w:style w:type="table" w:customStyle="1" w:styleId="TableGrid1">
    <w:name w:val="Table Grid1"/>
    <w:basedOn w:val="TableNormal"/>
    <w:next w:val="TableGrid"/>
    <w:uiPriority w:val="39"/>
    <w:rsid w:val="00341E7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WB Para Char,paragraph Char,normal Char,Normal1 Char,Normal2 Char,Normal3 Char,Normal4 Char,Normal5 Char,Normal6 Char,Normal7 Char,Lapis Bulleted List Char,Абзац списка1 Char,Bullets Char,3 Char"/>
    <w:basedOn w:val="DefaultParagraphFont"/>
    <w:link w:val="ListParagraph"/>
    <w:qFormat/>
    <w:locked/>
    <w:rsid w:val="00341E73"/>
    <w:rPr>
      <w:rFonts w:ascii="Times New Roman" w:eastAsiaTheme="minorEastAsia" w:hAnsi="Times New Roman" w:cs="Times New Roman"/>
      <w:kern w:val="28"/>
      <w:szCs w:val="24"/>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rsid w:val="00341E73"/>
    <w:pPr>
      <w:widowControl/>
      <w:overflowPunct/>
      <w:adjustRightInd/>
      <w:spacing w:after="160" w:line="240" w:lineRule="exact"/>
    </w:pPr>
    <w:rPr>
      <w:rFonts w:asciiTheme="minorHAnsi" w:eastAsiaTheme="minorHAnsi" w:hAnsiTheme="minorHAnsi" w:cstheme="minorBidi"/>
      <w:kern w:val="0"/>
      <w:sz w:val="22"/>
      <w:szCs w:val="22"/>
      <w:vertAlign w:val="superscript"/>
    </w:rPr>
  </w:style>
  <w:style w:type="table" w:styleId="TableGrid">
    <w:name w:val="Table Grid"/>
    <w:basedOn w:val="TableNormal"/>
    <w:uiPriority w:val="39"/>
    <w:rsid w:val="00341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6386"/>
    <w:rPr>
      <w:sz w:val="16"/>
      <w:szCs w:val="16"/>
    </w:rPr>
  </w:style>
  <w:style w:type="paragraph" w:styleId="CommentText">
    <w:name w:val="annotation text"/>
    <w:basedOn w:val="Normal"/>
    <w:link w:val="CommentTextChar"/>
    <w:uiPriority w:val="99"/>
    <w:semiHidden/>
    <w:unhideWhenUsed/>
    <w:rsid w:val="003E6386"/>
    <w:rPr>
      <w:sz w:val="20"/>
      <w:szCs w:val="20"/>
    </w:rPr>
  </w:style>
  <w:style w:type="character" w:customStyle="1" w:styleId="CommentTextChar">
    <w:name w:val="Comment Text Char"/>
    <w:basedOn w:val="DefaultParagraphFont"/>
    <w:link w:val="CommentText"/>
    <w:uiPriority w:val="99"/>
    <w:semiHidden/>
    <w:rsid w:val="003E6386"/>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semiHidden/>
    <w:unhideWhenUsed/>
    <w:rsid w:val="003E6386"/>
    <w:rPr>
      <w:b/>
      <w:bCs/>
    </w:rPr>
  </w:style>
  <w:style w:type="character" w:customStyle="1" w:styleId="CommentSubjectChar">
    <w:name w:val="Comment Subject Char"/>
    <w:basedOn w:val="CommentTextChar"/>
    <w:link w:val="CommentSubject"/>
    <w:uiPriority w:val="99"/>
    <w:semiHidden/>
    <w:rsid w:val="003E6386"/>
    <w:rPr>
      <w:rFonts w:ascii="Times New Roman" w:eastAsiaTheme="minorEastAsia" w:hAnsi="Times New Roman" w:cs="Times New Roman"/>
      <w:b/>
      <w:bCs/>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undp.org/content/dam/undp/library/corporate/Procurement/english/3.%20UNDP%20GTCs%20for%20Contracts%20(Goods%20and-or%20Services)%20-%20Sept%202017.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54302c-0219-4935-b33c-b846e77a2852">
      <Terms xmlns="http://schemas.microsoft.com/office/infopath/2007/PartnerControls"/>
    </lcf76f155ced4ddcb4097134ff3c332f>
    <ib25375c54994a098f0afea097860041 xmlns="0124b8df-39c7-408d-b94b-f1b19326dac9">
      <Terms xmlns="http://schemas.microsoft.com/office/infopath/2007/PartnerControls"/>
    </ib25375c54994a098f0afea097860041>
    <TaxCatchAll xmlns="0124b8df-39c7-408d-b94b-f1b19326dac9" xsi:nil="true"/>
    <Procurement_x0020_Plan_x0020_nr xmlns="0124b8df-39c7-408d-b94b-f1b19326dac9" xsi:nil="true"/>
    <Year xmlns="0124b8df-39c7-408d-b94b-f1b19326dac9" xsi:nil="true"/>
    <k0db2613b3b04255b3dcf11d9a5bd48c xmlns="0124b8df-39c7-408d-b94b-f1b19326dac9">
      <Terms xmlns="http://schemas.microsoft.com/office/infopath/2007/PartnerControls"/>
    </k0db2613b3b04255b3dcf11d9a5bd48c>
  </documentManagement>
</p:properties>
</file>

<file path=customXml/item3.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9AED73-A5EC-4E1F-8162-870A651ED579}">
  <ds:schemaRefs>
    <ds:schemaRef ds:uri="http://schemas.microsoft.com/sharepoint/v3/contenttype/forms"/>
  </ds:schemaRefs>
</ds:datastoreItem>
</file>

<file path=customXml/itemProps2.xml><?xml version="1.0" encoding="utf-8"?>
<ds:datastoreItem xmlns:ds="http://schemas.openxmlformats.org/officeDocument/2006/customXml" ds:itemID="{AF4244DF-1BD7-4C27-BC3D-59A2538B7E58}">
  <ds:schemaRefs>
    <ds:schemaRef ds:uri="http://schemas.microsoft.com/office/infopath/2007/PartnerControls"/>
    <ds:schemaRef ds:uri="http://purl.org/dc/dcmitype/"/>
    <ds:schemaRef ds:uri="b854302c-0219-4935-b33c-b846e77a2852"/>
    <ds:schemaRef ds:uri="0124b8df-39c7-408d-b94b-f1b19326dac9"/>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terms/"/>
  </ds:schemaRefs>
</ds:datastoreItem>
</file>

<file path=customXml/itemProps3.xml><?xml version="1.0" encoding="utf-8"?>
<ds:datastoreItem xmlns:ds="http://schemas.openxmlformats.org/officeDocument/2006/customXml" ds:itemID="{BABFBEA7-2349-434F-A961-6FF053F18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4b8df-39c7-408d-b94b-f1b19326dac9"/>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Jelena Colovic</cp:lastModifiedBy>
  <cp:revision>9</cp:revision>
  <dcterms:created xsi:type="dcterms:W3CDTF">2022-11-23T22:32:00Z</dcterms:created>
  <dcterms:modified xsi:type="dcterms:W3CDTF">2022-12-06T13:51:00Z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0x0101005D1732F72A487648B65596CBF19553A80600BB6AC216449E234B97E5A0B2B2B7EB09</vt:lpwstr>
  </property>
  <property fmtid="{D5CDD505-2E9C-101B-9397-08002B2CF9AE}" pid="3" name="Participant_x0020_title">
    <vt:lpwstr/>
  </property>
  <property fmtid="{D5CDD505-2E9C-101B-9397-08002B2CF9AE}" pid="4" name="Function1">
    <vt:lpwstr/>
  </property>
  <property fmtid="{D5CDD505-2E9C-101B-9397-08002B2CF9AE}" pid="5" name="Evaluation_x0020_Type">
    <vt:lpwstr/>
  </property>
  <property fmtid="{D5CDD505-2E9C-101B-9397-08002B2CF9AE}" pid="6" name="MediaServiceImageTags">
    <vt:lpwstr/>
  </property>
  <property fmtid="{D5CDD505-2E9C-101B-9397-08002B2CF9AE}" pid="7" name="bc42a633582144898a68615e0f8b2c09">
    <vt:lpwstr/>
  </property>
  <property fmtid="{D5CDD505-2E9C-101B-9397-08002B2CF9AE}" pid="8" name="Event_x0020_location">
    <vt:lpwstr/>
  </property>
  <property fmtid="{D5CDD505-2E9C-101B-9397-08002B2CF9AE}" pid="9" name="Award_x0020_Notification_x0020_Type">
    <vt:lpwstr/>
  </property>
  <property fmtid="{D5CDD505-2E9C-101B-9397-08002B2CF9AE}" pid="10" name="o5abed0d55cb4ef3b14ae4ecaef48ba4">
    <vt:lpwstr/>
  </property>
  <property fmtid="{D5CDD505-2E9C-101B-9397-08002B2CF9AE}" pid="11" name="Requesting unit">
    <vt:lpwstr/>
  </property>
  <property fmtid="{D5CDD505-2E9C-101B-9397-08002B2CF9AE}" pid="12" name="Participant">
    <vt:lpwstr/>
  </property>
  <property fmtid="{D5CDD505-2E9C-101B-9397-08002B2CF9AE}" pid="13" name="a04a9333f2e641d88873f0f106c22751">
    <vt:lpwstr/>
  </property>
  <property fmtid="{D5CDD505-2E9C-101B-9397-08002B2CF9AE}" pid="14" name="Event_x0020_venue">
    <vt:lpwstr/>
  </property>
  <property fmtid="{D5CDD505-2E9C-101B-9397-08002B2CF9AE}" pid="15" name="i2a1856294954824aab0b658869244e1">
    <vt:lpwstr/>
  </property>
  <property fmtid="{D5CDD505-2E9C-101B-9397-08002B2CF9AE}" pid="16" name="md259eb5f96543d19986437837a9b1f9">
    <vt:lpwstr/>
  </property>
  <property fmtid="{D5CDD505-2E9C-101B-9397-08002B2CF9AE}" pid="17" name="i54f13d09ec34bcd8cdb859e9da9b50c">
    <vt:lpwstr/>
  </property>
  <property fmtid="{D5CDD505-2E9C-101B-9397-08002B2CF9AE}" pid="18" name="f745a2646bc54c0fb284df43a9d4bcd8">
    <vt:lpwstr/>
  </property>
  <property fmtid="{D5CDD505-2E9C-101B-9397-08002B2CF9AE}" pid="19" name="Procurement modality">
    <vt:lpwstr/>
  </property>
  <property fmtid="{D5CDD505-2E9C-101B-9397-08002B2CF9AE}" pid="20" name="Participant title">
    <vt:lpwstr/>
  </property>
  <property fmtid="{D5CDD505-2E9C-101B-9397-08002B2CF9AE}" pid="21" name="Award Notification Type">
    <vt:lpwstr/>
  </property>
  <property fmtid="{D5CDD505-2E9C-101B-9397-08002B2CF9AE}" pid="22" name="Event venue">
    <vt:lpwstr/>
  </property>
  <property fmtid="{D5CDD505-2E9C-101B-9397-08002B2CF9AE}" pid="23" name="Event location">
    <vt:lpwstr/>
  </property>
  <property fmtid="{D5CDD505-2E9C-101B-9397-08002B2CF9AE}" pid="24" name="Evaluation Type">
    <vt:lpwstr/>
  </property>
</Properties>
</file>