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Wind Energy Development in Indonesia: Investment Plan</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ce:RFP/2022/44553</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51">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pos="2070"/>
          <w:tab w:val="left"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widowControl w:val="0"/>
              <w:spacing w:line="272.61817932128906" w:lineRule="auto"/>
              <w:ind w:left="18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Brief description of the organisation, including the year and country of incorporation, and types of activities undertaken, including relevance of specialised knowledge and experience on similar engagements done in the past. Bidders partnering up with an Indonesian entity to provide for the strategic consultation, translations; as well as the communications expertise is considered a valuable asset.</w:t>
            </w:r>
          </w:p>
          <w:p w:rsidR="00000000" w:rsidDel="00000000" w:rsidP="00000000" w:rsidRDefault="00000000" w:rsidRPr="00000000" w14:paraId="00000069">
            <w:pPr>
              <w:widowControl w:val="0"/>
              <w:spacing w:line="272.61817932128906" w:lineRule="auto"/>
              <w:ind w:left="18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(Max 4 pages written text plus 1 Matrix )</w:t>
            </w:r>
          </w:p>
          <w:p w:rsidR="00000000" w:rsidDel="00000000" w:rsidP="00000000" w:rsidRDefault="00000000" w:rsidRPr="00000000" w14:paraId="0000006A">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C">
            <w:pPr>
              <w:rPr>
                <w:i w:val="1"/>
                <w:color w:val="0000ff"/>
              </w:rPr>
            </w:pPr>
            <w:r w:rsidDel="00000000" w:rsidR="00000000" w:rsidRPr="00000000">
              <w:rPr>
                <w:rtl w:val="0"/>
              </w:rPr>
            </w:r>
          </w:p>
          <w:p w:rsidR="00000000" w:rsidDel="00000000" w:rsidP="00000000" w:rsidRDefault="00000000" w:rsidRPr="00000000" w14:paraId="0000006D">
            <w:pPr>
              <w:numPr>
                <w:ilvl w:val="0"/>
                <w:numId w:val="3"/>
              </w:numPr>
              <w:ind w:left="720" w:hanging="360"/>
              <w:rPr>
                <w:i w:val="1"/>
                <w:color w:val="0000ff"/>
                <w:u w:val="none"/>
              </w:rPr>
            </w:pPr>
            <w:r w:rsidDel="00000000" w:rsidR="00000000" w:rsidRPr="00000000">
              <w:rPr>
                <w:i w:val="1"/>
                <w:color w:val="0000ff"/>
                <w:rtl w:val="0"/>
              </w:rPr>
              <w:t xml:space="preserve">Experience in projects of comparable size, type, complexity and technical specialty (10)</w:t>
            </w:r>
            <w:r w:rsidDel="00000000" w:rsidR="00000000" w:rsidRPr="00000000">
              <w:rPr>
                <w:rtl w:val="0"/>
              </w:rPr>
            </w:r>
          </w:p>
          <w:p w:rsidR="00000000" w:rsidDel="00000000" w:rsidP="00000000" w:rsidRDefault="00000000" w:rsidRPr="00000000" w14:paraId="0000006E">
            <w:pPr>
              <w:numPr>
                <w:ilvl w:val="0"/>
                <w:numId w:val="3"/>
              </w:numPr>
              <w:ind w:left="720" w:hanging="360"/>
              <w:rPr>
                <w:i w:val="1"/>
                <w:color w:val="0000ff"/>
                <w:u w:val="none"/>
              </w:rPr>
            </w:pPr>
            <w:r w:rsidDel="00000000" w:rsidR="00000000" w:rsidRPr="00000000">
              <w:rPr>
                <w:i w:val="1"/>
                <w:color w:val="0000ff"/>
                <w:rtl w:val="0"/>
              </w:rPr>
              <w:t xml:space="preserve">Experience in providing similar services in the region, especially Indonesia (5)</w:t>
            </w:r>
            <w:r w:rsidDel="00000000" w:rsidR="00000000" w:rsidRPr="00000000">
              <w:rPr>
                <w:rtl w:val="0"/>
              </w:rPr>
            </w:r>
          </w:p>
          <w:p w:rsidR="00000000" w:rsidDel="00000000" w:rsidP="00000000" w:rsidRDefault="00000000" w:rsidRPr="00000000" w14:paraId="0000006F">
            <w:pPr>
              <w:numPr>
                <w:ilvl w:val="0"/>
                <w:numId w:val="3"/>
              </w:numPr>
              <w:ind w:left="720" w:hanging="360"/>
              <w:rPr>
                <w:i w:val="1"/>
                <w:color w:val="0000ff"/>
                <w:u w:val="none"/>
              </w:rPr>
            </w:pPr>
            <w:r w:rsidDel="00000000" w:rsidR="00000000" w:rsidRPr="00000000">
              <w:rPr>
                <w:i w:val="1"/>
                <w:color w:val="0000ff"/>
                <w:rtl w:val="0"/>
              </w:rPr>
              <w:t xml:space="preserve">Understanding of local context, and partnering up with an Indonesian entity to provide for the strategic consultation, translations; as well as the communications expertise</w:t>
            </w:r>
            <w:r w:rsidDel="00000000" w:rsidR="00000000" w:rsidRPr="00000000">
              <w:rPr>
                <w:rFonts w:ascii="Open Sans" w:cs="Open Sans" w:eastAsia="Open Sans" w:hAnsi="Open Sans"/>
                <w:sz w:val="22"/>
                <w:szCs w:val="22"/>
                <w:highlight w:val="white"/>
                <w:rtl w:val="0"/>
              </w:rPr>
              <w:t xml:space="preserve"> </w:t>
            </w:r>
            <w:r w:rsidDel="00000000" w:rsidR="00000000" w:rsidRPr="00000000">
              <w:rPr>
                <w:i w:val="1"/>
                <w:color w:val="0000ff"/>
                <w:rtl w:val="0"/>
              </w:rPr>
              <w:t xml:space="preserve">(5)</w:t>
            </w:r>
            <w:r w:rsidDel="00000000" w:rsidR="00000000" w:rsidRPr="00000000">
              <w:rPr>
                <w:rtl w:val="0"/>
              </w:rPr>
            </w:r>
          </w:p>
          <w:p w:rsidR="00000000" w:rsidDel="00000000" w:rsidP="00000000" w:rsidRDefault="00000000" w:rsidRPr="00000000" w14:paraId="00000070">
            <w:pPr>
              <w:rPr>
                <w:i w:val="1"/>
                <w:color w:val="ff0000"/>
              </w:rPr>
            </w:pPr>
            <w:r w:rsidDel="00000000" w:rsidR="00000000" w:rsidRPr="00000000">
              <w:rPr>
                <w:rtl w:val="0"/>
              </w:rPr>
            </w:r>
          </w:p>
          <w:p w:rsidR="00000000" w:rsidDel="00000000" w:rsidP="00000000" w:rsidRDefault="00000000" w:rsidRPr="00000000" w14:paraId="00000071">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organisational capability which is likely to affect implementation: management structure, and project management controls.</w:t>
            </w:r>
          </w:p>
          <w:p w:rsidR="00000000" w:rsidDel="00000000" w:rsidP="00000000" w:rsidRDefault="00000000" w:rsidRPr="00000000" w14:paraId="00000079">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A">
            <w:pPr>
              <w:rPr>
                <w:i w:val="1"/>
                <w:color w:val="0000ff"/>
              </w:rPr>
            </w:pPr>
            <w:r w:rsidDel="00000000" w:rsidR="00000000" w:rsidRPr="00000000">
              <w:rPr>
                <w:rtl w:val="0"/>
              </w:rPr>
            </w:r>
          </w:p>
          <w:p w:rsidR="00000000" w:rsidDel="00000000" w:rsidP="00000000" w:rsidRDefault="00000000" w:rsidRPr="00000000" w14:paraId="0000007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C">
            <w:pPr>
              <w:rPr>
                <w:i w:val="1"/>
                <w:color w:val="0000ff"/>
              </w:rPr>
            </w:pPr>
            <w:r w:rsidDel="00000000" w:rsidR="00000000" w:rsidRPr="00000000">
              <w:rPr>
                <w:rtl w:val="0"/>
              </w:rPr>
            </w:r>
          </w:p>
          <w:p w:rsidR="00000000" w:rsidDel="00000000" w:rsidP="00000000" w:rsidRDefault="00000000" w:rsidRPr="00000000" w14:paraId="0000007D">
            <w:pPr>
              <w:numPr>
                <w:ilvl w:val="0"/>
                <w:numId w:val="5"/>
              </w:numPr>
              <w:ind w:left="720" w:hanging="360"/>
              <w:rPr>
                <w:i w:val="1"/>
                <w:color w:val="0000ff"/>
                <w:u w:val="none"/>
              </w:rPr>
            </w:pPr>
            <w:r w:rsidDel="00000000" w:rsidR="00000000" w:rsidRPr="00000000">
              <w:rPr>
                <w:i w:val="1"/>
                <w:color w:val="0000ff"/>
                <w:rtl w:val="0"/>
              </w:rPr>
              <w:t xml:space="preserve">Management structure, management controls, and extent to which any part would be subcontracted (3)</w:t>
            </w:r>
            <w:r w:rsidDel="00000000" w:rsidR="00000000" w:rsidRPr="00000000">
              <w:rPr>
                <w:rtl w:val="0"/>
              </w:rPr>
            </w:r>
          </w:p>
          <w:p w:rsidR="00000000" w:rsidDel="00000000" w:rsidP="00000000" w:rsidRDefault="00000000" w:rsidRPr="00000000" w14:paraId="0000007E">
            <w:pPr>
              <w:widowControl w:val="0"/>
              <w:numPr>
                <w:ilvl w:val="0"/>
                <w:numId w:val="5"/>
              </w:numPr>
              <w:spacing w:line="272.61817932128906" w:lineRule="auto"/>
              <w:ind w:left="720" w:hanging="360"/>
              <w:rPr>
                <w:i w:val="1"/>
                <w:color w:val="0000ff"/>
              </w:rPr>
            </w:pPr>
            <w:r w:rsidDel="00000000" w:rsidR="00000000" w:rsidRPr="00000000">
              <w:rPr>
                <w:i w:val="1"/>
                <w:color w:val="0000ff"/>
                <w:rtl w:val="0"/>
              </w:rPr>
              <w:t xml:space="preserve">Financial Capacity/financial stability: Bidder should have minimum annual turnover of 350,000 USD in any of the past 2 years. Liquidity / quick ratio should be minimum 1, in any of the past 2 years (2)</w:t>
            </w:r>
          </w:p>
          <w:p w:rsidR="00000000" w:rsidDel="00000000" w:rsidP="00000000" w:rsidRDefault="00000000" w:rsidRPr="00000000" w14:paraId="0000007F">
            <w:pPr>
              <w:widowControl w:val="0"/>
              <w:spacing w:line="272.61817932128906" w:lineRule="auto"/>
              <w:ind w:left="720" w:firstLine="0"/>
              <w:rPr>
                <w:i w:val="1"/>
                <w:color w:val="0000ff"/>
              </w:rPr>
            </w:pPr>
            <w:r w:rsidDel="00000000" w:rsidR="00000000" w:rsidRPr="00000000">
              <w:rPr>
                <w:i w:val="1"/>
                <w:color w:val="0000ff"/>
                <w:rtl w:val="0"/>
              </w:rPr>
              <w:t xml:space="preserve">In case of a joint venture, annual turnover is calculated based on the total annual turnover of the JV members. In case of a joint-venture, at least one of the JV members should have minimum 1 liquidity/quick ratio in any of the past 2 years.</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highlight w:val="magenta"/>
              </w:rPr>
            </w:pPr>
            <w:r w:rsidDel="00000000" w:rsidR="00000000" w:rsidRPr="00000000">
              <w:rPr>
                <w:rtl w:val="0"/>
              </w:rPr>
            </w:r>
          </w:p>
        </w:tc>
      </w:tr>
    </w:tbl>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8">
            <w:pPr>
              <w:rPr>
                <w:b w:val="1"/>
              </w:rPr>
            </w:pPr>
            <w:r w:rsidDel="00000000" w:rsidR="00000000" w:rsidRPr="00000000">
              <w:rPr>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widowControl w:val="0"/>
              <w:spacing w:line="276" w:lineRule="auto"/>
              <w:rPr>
                <w:i w:val="1"/>
                <w:color w:val="0000ff"/>
              </w:rPr>
            </w:pPr>
            <w:r w:rsidDel="00000000" w:rsidR="00000000" w:rsidRPr="00000000">
              <w:rPr>
                <w:rFonts w:ascii="Open Sans" w:cs="Open Sans" w:eastAsia="Open Sans" w:hAnsi="Open Sans"/>
                <w:rtl w:val="0"/>
              </w:rPr>
              <w:t xml:space="preserve">Description of the Offeror’s approach and methodology for meeting or exceeding the requirements of the Terms of Reference</w:t>
            </w:r>
            <w:r w:rsidDel="00000000" w:rsidR="00000000" w:rsidRPr="00000000">
              <w:rPr>
                <w:rtl w:val="0"/>
              </w:rPr>
            </w:r>
          </w:p>
          <w:p w:rsidR="00000000" w:rsidDel="00000000" w:rsidP="00000000" w:rsidRDefault="00000000" w:rsidRPr="00000000" w14:paraId="0000008C">
            <w:pPr>
              <w:rPr>
                <w:i w:val="1"/>
                <w:color w:val="0000ff"/>
              </w:rPr>
            </w:pPr>
            <w:r w:rsidDel="00000000" w:rsidR="00000000" w:rsidRPr="00000000">
              <w:rPr>
                <w:rtl w:val="0"/>
              </w:rPr>
            </w:r>
          </w:p>
          <w:p w:rsidR="00000000" w:rsidDel="00000000" w:rsidP="00000000" w:rsidRDefault="00000000" w:rsidRPr="00000000" w14:paraId="0000008D">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3">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4">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5">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6">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7">
            <w:pPr>
              <w:rPr>
                <w:i w:val="1"/>
                <w:color w:val="0000ff"/>
              </w:rPr>
            </w:pPr>
            <w:r w:rsidDel="00000000" w:rsidR="00000000" w:rsidRPr="00000000">
              <w:rPr>
                <w:i w:val="1"/>
                <w:color w:val="0000ff"/>
                <w:rtl w:val="0"/>
              </w:rPr>
              <w:t xml:space="preserve">Quality Assurance Plan (5)</w:t>
            </w:r>
          </w:p>
          <w:p w:rsidR="00000000" w:rsidDel="00000000" w:rsidP="00000000" w:rsidRDefault="00000000" w:rsidRPr="00000000" w14:paraId="00000098">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E">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F">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0">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1">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2">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3">
            <w:pPr>
              <w:rPr>
                <w:i w:val="1"/>
                <w:color w:val="0000ff"/>
              </w:rPr>
            </w:pPr>
            <w:r w:rsidDel="00000000" w:rsidR="00000000" w:rsidRPr="00000000">
              <w:rPr>
                <w:i w:val="1"/>
                <w:color w:val="0000ff"/>
                <w:rtl w:val="0"/>
              </w:rPr>
              <w:t xml:space="preserve">Implementation Timeline (5)</w:t>
            </w:r>
          </w:p>
          <w:p w:rsidR="00000000" w:rsidDel="00000000" w:rsidP="00000000" w:rsidRDefault="00000000" w:rsidRPr="00000000" w14:paraId="000000A4">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A5">
            <w:pPr>
              <w:rPr>
                <w:i w:val="1"/>
                <w:color w:val="0000ff"/>
              </w:rPr>
            </w:pPr>
            <w:r w:rsidDel="00000000" w:rsidR="00000000" w:rsidRPr="00000000">
              <w:rPr>
                <w:rtl w:val="0"/>
              </w:rPr>
            </w:r>
          </w:p>
          <w:p w:rsidR="00000000" w:rsidDel="00000000" w:rsidP="00000000" w:rsidRDefault="00000000" w:rsidRPr="00000000" w14:paraId="000000A6">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7">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8">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rPr>
          <w:highlight w:val="lightGray"/>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AD">
            <w:pPr>
              <w:rPr>
                <w:b w:val="1"/>
              </w:rPr>
            </w:pPr>
            <w:r w:rsidDel="00000000" w:rsidR="00000000" w:rsidRPr="00000000">
              <w:rPr>
                <w:b w:val="1"/>
                <w:rtl w:val="0"/>
              </w:rPr>
              <w:t xml:space="preserve">Section 3: Key personnel proposed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F">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0">
            <w:pPr>
              <w:rPr>
                <w:b w:val="1"/>
              </w:rPr>
            </w:pPr>
            <w:r w:rsidDel="00000000" w:rsidR="00000000" w:rsidRPr="00000000">
              <w:rPr>
                <w:rtl w:val="0"/>
              </w:rPr>
            </w:r>
          </w:p>
          <w:p w:rsidR="00000000" w:rsidDel="00000000" w:rsidP="00000000" w:rsidRDefault="00000000" w:rsidRPr="00000000" w14:paraId="000000B1">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p w:rsidR="00000000" w:rsidDel="00000000" w:rsidP="00000000" w:rsidRDefault="00000000" w:rsidRPr="00000000" w14:paraId="000000B3">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4">
            <w:pPr>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B5">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6">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7">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B8">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9">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A">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BB">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C">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D">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BE">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F">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0">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C1">
            <w:pPr>
              <w:rPr>
                <w:i w:val="1"/>
                <w:color w:val="0000ff"/>
              </w:rPr>
            </w:pPr>
            <w:r w:rsidDel="00000000" w:rsidR="00000000" w:rsidRPr="00000000">
              <w:rPr>
                <w:rtl w:val="0"/>
              </w:rPr>
            </w:r>
          </w:p>
          <w:p w:rsidR="00000000" w:rsidDel="00000000" w:rsidP="00000000" w:rsidRDefault="00000000" w:rsidRPr="00000000" w14:paraId="000000C2">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C3">
            <w:pPr>
              <w:rPr>
                <w:i w:val="1"/>
                <w:color w:val="0000ff"/>
              </w:rPr>
            </w:pPr>
            <w:r w:rsidDel="00000000" w:rsidR="00000000" w:rsidRPr="00000000">
              <w:rPr>
                <w:rtl w:val="0"/>
              </w:rPr>
            </w:r>
          </w:p>
          <w:p w:rsidR="00000000" w:rsidDel="00000000" w:rsidP="00000000" w:rsidRDefault="00000000" w:rsidRPr="00000000" w14:paraId="000000C4">
            <w:pPr>
              <w:rPr>
                <w:i w:val="1"/>
                <w:color w:val="0000ff"/>
              </w:rPr>
            </w:pPr>
            <w:r w:rsidDel="00000000" w:rsidR="00000000" w:rsidRPr="00000000">
              <w:rPr>
                <w:i w:val="1"/>
                <w:color w:val="0000ff"/>
                <w:rtl w:val="0"/>
              </w:rPr>
              <w:t xml:space="preserve">1.  Team lead (8)</w:t>
            </w:r>
          </w:p>
          <w:p w:rsidR="00000000" w:rsidDel="00000000" w:rsidP="00000000" w:rsidRDefault="00000000" w:rsidRPr="00000000" w14:paraId="000000C5">
            <w:pPr>
              <w:rPr>
                <w:i w:val="1"/>
                <w:color w:val="0000ff"/>
              </w:rPr>
            </w:pPr>
            <w:r w:rsidDel="00000000" w:rsidR="00000000" w:rsidRPr="00000000">
              <w:rPr>
                <w:i w:val="1"/>
                <w:color w:val="0000ff"/>
                <w:rtl w:val="0"/>
              </w:rPr>
              <w:t xml:space="preserve">2. </w:t>
            </w:r>
            <w:r w:rsidDel="00000000" w:rsidR="00000000" w:rsidRPr="00000000">
              <w:rPr>
                <w:i w:val="1"/>
                <w:color w:val="0000ff"/>
                <w:rtl w:val="0"/>
              </w:rPr>
              <w:t xml:space="preserve">Wind power project development</w:t>
            </w:r>
            <w:r w:rsidDel="00000000" w:rsidR="00000000" w:rsidRPr="00000000">
              <w:rPr>
                <w:i w:val="1"/>
                <w:color w:val="0000ff"/>
                <w:rtl w:val="0"/>
              </w:rPr>
              <w:t xml:space="preserve"> (6)</w:t>
            </w:r>
          </w:p>
          <w:p w:rsidR="00000000" w:rsidDel="00000000" w:rsidP="00000000" w:rsidRDefault="00000000" w:rsidRPr="00000000" w14:paraId="000000C6">
            <w:pPr>
              <w:rPr>
                <w:rFonts w:ascii="Open Sans" w:cs="Open Sans" w:eastAsia="Open Sans" w:hAnsi="Open Sans"/>
                <w:highlight w:val="white"/>
              </w:rPr>
            </w:pPr>
            <w:r w:rsidDel="00000000" w:rsidR="00000000" w:rsidRPr="00000000">
              <w:rPr>
                <w:i w:val="1"/>
                <w:color w:val="0000ff"/>
                <w:rtl w:val="0"/>
              </w:rPr>
              <w:t xml:space="preserve">3. </w:t>
            </w:r>
            <w:r w:rsidDel="00000000" w:rsidR="00000000" w:rsidRPr="00000000">
              <w:rPr>
                <w:i w:val="1"/>
                <w:color w:val="0000ff"/>
                <w:rtl w:val="0"/>
              </w:rPr>
              <w:t xml:space="preserve">Wind power environmental, social impact assessments </w:t>
            </w:r>
            <w:r w:rsidDel="00000000" w:rsidR="00000000" w:rsidRPr="00000000">
              <w:rPr>
                <w:i w:val="1"/>
                <w:color w:val="0000ff"/>
                <w:rtl w:val="0"/>
              </w:rPr>
              <w:t xml:space="preserve">(6)</w:t>
            </w:r>
            <w:r w:rsidDel="00000000" w:rsidR="00000000" w:rsidRPr="00000000">
              <w:rPr>
                <w:rtl w:val="0"/>
              </w:rPr>
            </w:r>
          </w:p>
          <w:p w:rsidR="00000000" w:rsidDel="00000000" w:rsidP="00000000" w:rsidRDefault="00000000" w:rsidRPr="00000000" w14:paraId="000000C7">
            <w:pPr>
              <w:rPr>
                <w:i w:val="1"/>
                <w:color w:val="0000ff"/>
              </w:rPr>
            </w:pPr>
            <w:r w:rsidDel="00000000" w:rsidR="00000000" w:rsidRPr="00000000">
              <w:rPr>
                <w:rtl w:val="0"/>
              </w:rPr>
            </w:r>
          </w:p>
          <w:p w:rsidR="00000000" w:rsidDel="00000000" w:rsidP="00000000" w:rsidRDefault="00000000" w:rsidRPr="00000000" w14:paraId="000000C8">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CB">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C">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D">
            <w:pPr>
              <w:widowControl w:val="0"/>
              <w:spacing w:line="276" w:lineRule="auto"/>
              <w:rPr>
                <w:b w:val="1"/>
              </w:rPr>
            </w:pPr>
            <w:r w:rsidDel="00000000" w:rsidR="00000000" w:rsidRPr="00000000">
              <w:rPr>
                <w:rFonts w:ascii="Open Sans" w:cs="Open Sans" w:eastAsia="Open Sans" w:hAnsi="Open Sans"/>
                <w:rtl w:val="0"/>
              </w:rPr>
              <w:t xml:space="preserve">The bidder shall provide a response that demonstrates its commitment to support gender equality through its operations</w:t>
            </w:r>
            <w:r w:rsidDel="00000000" w:rsidR="00000000" w:rsidRPr="00000000">
              <w:rPr>
                <w:rtl w:val="0"/>
              </w:rPr>
            </w:r>
          </w:p>
          <w:p w:rsidR="00000000" w:rsidDel="00000000" w:rsidP="00000000" w:rsidRDefault="00000000" w:rsidRPr="00000000" w14:paraId="000000CE">
            <w:pPr>
              <w:widowControl w:val="0"/>
              <w:rPr/>
            </w:pPr>
            <w:r w:rsidDel="00000000" w:rsidR="00000000" w:rsidRPr="00000000">
              <w:rPr>
                <w:rtl w:val="0"/>
              </w:rPr>
            </w:r>
          </w:p>
          <w:p w:rsidR="00000000" w:rsidDel="00000000" w:rsidP="00000000" w:rsidRDefault="00000000" w:rsidRPr="00000000" w14:paraId="000000CF">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0">
            <w:pPr>
              <w:rPr>
                <w:i w:val="1"/>
                <w:color w:val="0000ff"/>
              </w:rPr>
            </w:pPr>
            <w:r w:rsidDel="00000000" w:rsidR="00000000" w:rsidRPr="00000000">
              <w:rPr>
                <w:rtl w:val="0"/>
              </w:rPr>
            </w:r>
          </w:p>
          <w:p w:rsidR="00000000" w:rsidDel="00000000" w:rsidP="00000000" w:rsidRDefault="00000000" w:rsidRPr="00000000" w14:paraId="000000D1">
            <w:pPr>
              <w:rPr>
                <w:color w:val="0000ff"/>
              </w:rPr>
            </w:pPr>
            <w:r w:rsidDel="00000000" w:rsidR="00000000" w:rsidRPr="00000000">
              <w:rPr>
                <w:i w:val="1"/>
                <w:color w:val="0000ff"/>
                <w:rtl w:val="0"/>
              </w:rPr>
              <w:t xml:space="preserve">Demonstrating commitments to support gender equality through its operation (5)</w:t>
            </w:r>
            <w:r w:rsidDel="00000000" w:rsidR="00000000" w:rsidRPr="00000000">
              <w:rPr>
                <w:rtl w:val="0"/>
              </w:rPr>
            </w:r>
          </w:p>
          <w:p w:rsidR="00000000" w:rsidDel="00000000" w:rsidP="00000000" w:rsidRDefault="00000000" w:rsidRPr="00000000" w14:paraId="000000D2">
            <w:pPr>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D3">
            <w:pPr>
              <w:widowControl w:val="0"/>
              <w:rPr/>
            </w:pPr>
            <w:r w:rsidDel="00000000" w:rsidR="00000000" w:rsidRPr="00000000">
              <w:rPr>
                <w:rtl w:val="0"/>
              </w:rPr>
            </w:r>
          </w:p>
        </w:tc>
      </w:tr>
    </w:tbl>
    <w:p w:rsidR="00000000" w:rsidDel="00000000" w:rsidP="00000000" w:rsidRDefault="00000000" w:rsidRPr="00000000" w14:paraId="000000D4">
      <w:pPr>
        <w:rPr/>
      </w:pPr>
      <w:r w:rsidDel="00000000" w:rsidR="00000000" w:rsidRPr="00000000">
        <w:rPr>
          <w:rtl w:val="0"/>
        </w:rPr>
      </w:r>
    </w:p>
    <w:p w:rsidR="00000000" w:rsidDel="00000000" w:rsidP="00000000" w:rsidRDefault="00000000" w:rsidRPr="00000000" w14:paraId="000000D5">
      <w:pPr>
        <w:rPr>
          <w:highlight w:val="lightGray"/>
        </w:rPr>
      </w:pPr>
      <w:r w:rsidDel="00000000" w:rsidR="00000000" w:rsidRPr="00000000">
        <w:rPr>
          <w:rtl w:val="0"/>
        </w:rPr>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D7">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D8">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D9">
      <w:pPr>
        <w:tabs>
          <w:tab w:val="left" w:pos="720"/>
        </w:tabs>
        <w:rPr>
          <w:color w:val="000000"/>
        </w:rPr>
      </w:pPr>
      <w:r w:rsidDel="00000000" w:rsidR="00000000" w:rsidRPr="00000000">
        <w:rPr>
          <w:rtl w:val="0"/>
        </w:rPr>
      </w:r>
    </w:p>
    <w:p w:rsidR="00000000" w:rsidDel="00000000" w:rsidP="00000000" w:rsidRDefault="00000000" w:rsidRPr="00000000" w14:paraId="000000DA">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DB">
      <w:pPr>
        <w:rPr>
          <w:color w:val="000000"/>
        </w:rPr>
      </w:pPr>
      <w:r w:rsidDel="00000000" w:rsidR="00000000" w:rsidRPr="00000000">
        <w:rPr>
          <w:rtl w:val="0"/>
        </w:rPr>
      </w:r>
    </w:p>
    <w:p w:rsidR="00000000" w:rsidDel="00000000" w:rsidP="00000000" w:rsidRDefault="00000000" w:rsidRPr="00000000" w14:paraId="000000DC">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DD">
      <w:pPr>
        <w:rPr>
          <w:color w:val="000000"/>
        </w:rPr>
      </w:pPr>
      <w:r w:rsidDel="00000000" w:rsidR="00000000" w:rsidRPr="00000000">
        <w:rPr>
          <w:rtl w:val="0"/>
        </w:rPr>
      </w:r>
    </w:p>
    <w:p w:rsidR="00000000" w:rsidDel="00000000" w:rsidP="00000000" w:rsidRDefault="00000000" w:rsidRPr="00000000" w14:paraId="000000DE">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DF">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4">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E5">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E6">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E7">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E8">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E9">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EA">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EB">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EC">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ED">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EE">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EF">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0">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1">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2">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3">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0F4">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0F5">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0F6">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0F7">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0F8">
            <w:pPr>
              <w:pStyle w:val="Subtitle"/>
              <w:numPr>
                <w:ilvl w:val="0"/>
                <w:numId w:val="1"/>
              </w:numPr>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0F9">
            <w:pPr>
              <w:pStyle w:val="Subtitle"/>
              <w:numPr>
                <w:ilvl w:val="0"/>
                <w:numId w:val="1"/>
              </w:numPr>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0FA">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0FB">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0FC">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0FD">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0FE">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0FF">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0">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1">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2">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3">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04">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5">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06">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7">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08">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09">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A">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B">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0C">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D">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E">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0F">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0">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17">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18">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19">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1A">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1B">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1D">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1E">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23">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24">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27">
            <w:pPr>
              <w:rPr/>
            </w:pPr>
            <w:r w:rsidDel="00000000" w:rsidR="00000000" w:rsidRPr="00000000">
              <w:rPr>
                <w:rtl w:val="0"/>
              </w:rPr>
            </w:r>
          </w:p>
        </w:tc>
        <w:tc>
          <w:tcPr/>
          <w:p w:rsidR="00000000" w:rsidDel="00000000" w:rsidP="00000000" w:rsidRDefault="00000000" w:rsidRPr="00000000" w14:paraId="00000128">
            <w:pPr>
              <w:rPr/>
            </w:pPr>
            <w:r w:rsidDel="00000000" w:rsidR="00000000" w:rsidRPr="00000000">
              <w:rPr>
                <w:rtl w:val="0"/>
              </w:rPr>
            </w:r>
          </w:p>
        </w:tc>
        <w:tc>
          <w:tcPr/>
          <w:p w:rsidR="00000000" w:rsidDel="00000000" w:rsidP="00000000" w:rsidRDefault="00000000" w:rsidRPr="00000000" w14:paraId="00000129">
            <w:pPr>
              <w:rPr/>
            </w:pPr>
            <w:r w:rsidDel="00000000" w:rsidR="00000000" w:rsidRPr="00000000">
              <w:rPr>
                <w:rtl w:val="0"/>
              </w:rPr>
            </w:r>
          </w:p>
        </w:tc>
        <w:tc>
          <w:tcPr/>
          <w:p w:rsidR="00000000" w:rsidDel="00000000" w:rsidP="00000000" w:rsidRDefault="00000000" w:rsidRPr="00000000" w14:paraId="0000012A">
            <w:pPr>
              <w:rPr/>
            </w:pPr>
            <w:r w:rsidDel="00000000" w:rsidR="00000000" w:rsidRPr="00000000">
              <w:rPr>
                <w:rtl w:val="0"/>
              </w:rPr>
            </w:r>
          </w:p>
        </w:tc>
        <w:tc>
          <w:tcPr/>
          <w:p w:rsidR="00000000" w:rsidDel="00000000" w:rsidP="00000000" w:rsidRDefault="00000000" w:rsidRPr="00000000" w14:paraId="0000012B">
            <w:pPr>
              <w:rPr/>
            </w:pPr>
            <w:r w:rsidDel="00000000" w:rsidR="00000000" w:rsidRPr="00000000">
              <w:rPr>
                <w:rtl w:val="0"/>
              </w:rPr>
            </w:r>
          </w:p>
        </w:tc>
        <w:tc>
          <w:tcPr/>
          <w:p w:rsidR="00000000" w:rsidDel="00000000" w:rsidP="00000000" w:rsidRDefault="00000000" w:rsidRPr="00000000" w14:paraId="0000012C">
            <w:pPr>
              <w:rPr/>
            </w:pPr>
            <w:r w:rsidDel="00000000" w:rsidR="00000000" w:rsidRPr="00000000">
              <w:rPr>
                <w:rtl w:val="0"/>
              </w:rPr>
            </w:r>
          </w:p>
        </w:tc>
        <w:tc>
          <w:tcPr/>
          <w:p w:rsidR="00000000" w:rsidDel="00000000" w:rsidP="00000000" w:rsidRDefault="00000000" w:rsidRPr="00000000" w14:paraId="0000012D">
            <w:pPr>
              <w:rPr/>
            </w:pPr>
            <w:r w:rsidDel="00000000" w:rsidR="00000000" w:rsidRPr="00000000">
              <w:rPr>
                <w:rtl w:val="0"/>
              </w:rPr>
            </w:r>
          </w:p>
        </w:tc>
        <w:tc>
          <w:tcPr/>
          <w:p w:rsidR="00000000" w:rsidDel="00000000" w:rsidP="00000000" w:rsidRDefault="00000000" w:rsidRPr="00000000" w14:paraId="0000012E">
            <w:pPr>
              <w:rPr/>
            </w:pPr>
            <w:r w:rsidDel="00000000" w:rsidR="00000000" w:rsidRPr="00000000">
              <w:rPr>
                <w:rtl w:val="0"/>
              </w:rPr>
            </w:r>
          </w:p>
        </w:tc>
      </w:tr>
      <w:tr>
        <w:trPr>
          <w:cantSplit w:val="0"/>
          <w:tblHeader w:val="0"/>
        </w:trPr>
        <w:tc>
          <w:tcPr/>
          <w:p w:rsidR="00000000" w:rsidDel="00000000" w:rsidP="00000000" w:rsidRDefault="00000000" w:rsidRPr="00000000" w14:paraId="0000012F">
            <w:pPr>
              <w:rPr/>
            </w:pPr>
            <w:r w:rsidDel="00000000" w:rsidR="00000000" w:rsidRPr="00000000">
              <w:rPr>
                <w:rtl w:val="0"/>
              </w:rPr>
            </w:r>
          </w:p>
        </w:tc>
        <w:tc>
          <w:tcPr/>
          <w:p w:rsidR="00000000" w:rsidDel="00000000" w:rsidP="00000000" w:rsidRDefault="00000000" w:rsidRPr="00000000" w14:paraId="00000130">
            <w:pPr>
              <w:rPr/>
            </w:pPr>
            <w:r w:rsidDel="00000000" w:rsidR="00000000" w:rsidRPr="00000000">
              <w:rPr>
                <w:rtl w:val="0"/>
              </w:rPr>
            </w:r>
          </w:p>
        </w:tc>
        <w:tc>
          <w:tcPr/>
          <w:p w:rsidR="00000000" w:rsidDel="00000000" w:rsidP="00000000" w:rsidRDefault="00000000" w:rsidRPr="00000000" w14:paraId="00000131">
            <w:pPr>
              <w:rPr/>
            </w:pPr>
            <w:r w:rsidDel="00000000" w:rsidR="00000000" w:rsidRPr="00000000">
              <w:rPr>
                <w:rtl w:val="0"/>
              </w:rPr>
            </w:r>
          </w:p>
        </w:tc>
        <w:tc>
          <w:tcPr/>
          <w:p w:rsidR="00000000" w:rsidDel="00000000" w:rsidP="00000000" w:rsidRDefault="00000000" w:rsidRPr="00000000" w14:paraId="00000132">
            <w:pPr>
              <w:rPr/>
            </w:pPr>
            <w:r w:rsidDel="00000000" w:rsidR="00000000" w:rsidRPr="00000000">
              <w:rPr>
                <w:rtl w:val="0"/>
              </w:rPr>
            </w:r>
          </w:p>
        </w:tc>
        <w:tc>
          <w:tcPr/>
          <w:p w:rsidR="00000000" w:rsidDel="00000000" w:rsidP="00000000" w:rsidRDefault="00000000" w:rsidRPr="00000000" w14:paraId="00000133">
            <w:pPr>
              <w:rPr/>
            </w:pPr>
            <w:r w:rsidDel="00000000" w:rsidR="00000000" w:rsidRPr="00000000">
              <w:rPr>
                <w:rtl w:val="0"/>
              </w:rPr>
            </w:r>
          </w:p>
        </w:tc>
        <w:tc>
          <w:tcPr/>
          <w:p w:rsidR="00000000" w:rsidDel="00000000" w:rsidP="00000000" w:rsidRDefault="00000000" w:rsidRPr="00000000" w14:paraId="00000134">
            <w:pPr>
              <w:rPr/>
            </w:pPr>
            <w:r w:rsidDel="00000000" w:rsidR="00000000" w:rsidRPr="00000000">
              <w:rPr>
                <w:rtl w:val="0"/>
              </w:rPr>
            </w:r>
          </w:p>
        </w:tc>
        <w:tc>
          <w:tcPr/>
          <w:p w:rsidR="00000000" w:rsidDel="00000000" w:rsidP="00000000" w:rsidRDefault="00000000" w:rsidRPr="00000000" w14:paraId="00000135">
            <w:pPr>
              <w:rPr/>
            </w:pPr>
            <w:r w:rsidDel="00000000" w:rsidR="00000000" w:rsidRPr="00000000">
              <w:rPr>
                <w:rtl w:val="0"/>
              </w:rPr>
            </w:r>
          </w:p>
        </w:tc>
        <w:tc>
          <w:tcPr/>
          <w:p w:rsidR="00000000" w:rsidDel="00000000" w:rsidP="00000000" w:rsidRDefault="00000000" w:rsidRPr="00000000" w14:paraId="00000136">
            <w:pPr>
              <w:rPr/>
            </w:pPr>
            <w:r w:rsidDel="00000000" w:rsidR="00000000" w:rsidRPr="00000000">
              <w:rPr>
                <w:rtl w:val="0"/>
              </w:rPr>
            </w:r>
          </w:p>
        </w:tc>
      </w:tr>
      <w:tr>
        <w:trPr>
          <w:cantSplit w:val="0"/>
          <w:tblHeader w:val="0"/>
        </w:trPr>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r>
      <w:tr>
        <w:trPr>
          <w:cantSplit w:val="0"/>
          <w:tblHeader w:val="0"/>
        </w:trPr>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r>
    </w:tbl>
    <w:p w:rsidR="00000000" w:rsidDel="00000000" w:rsidP="00000000" w:rsidRDefault="00000000" w:rsidRPr="00000000" w14:paraId="00000147">
      <w:pPr>
        <w:ind w:left="1598" w:hanging="1598"/>
        <w:jc w:val="both"/>
        <w:rPr/>
      </w:pPr>
      <w:r w:rsidDel="00000000" w:rsidR="00000000" w:rsidRPr="00000000">
        <w:rPr>
          <w:rtl w:val="0"/>
        </w:rPr>
      </w:r>
    </w:p>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9">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14A">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4B">
      <w:pPr>
        <w:tabs>
          <w:tab w:val="left" w:pos="720"/>
        </w:tabs>
        <w:rPr>
          <w:color w:val="000000"/>
        </w:rPr>
      </w:pPr>
      <w:r w:rsidDel="00000000" w:rsidR="00000000" w:rsidRPr="00000000">
        <w:rPr>
          <w:rtl w:val="0"/>
        </w:rPr>
      </w:r>
    </w:p>
    <w:p w:rsidR="00000000" w:rsidDel="00000000" w:rsidP="00000000" w:rsidRDefault="00000000" w:rsidRPr="00000000" w14:paraId="0000014C">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4D">
      <w:pPr>
        <w:rPr>
          <w:color w:val="000000"/>
        </w:rPr>
      </w:pPr>
      <w:r w:rsidDel="00000000" w:rsidR="00000000" w:rsidRPr="00000000">
        <w:rPr>
          <w:rtl w:val="0"/>
        </w:rPr>
      </w:r>
    </w:p>
    <w:p w:rsidR="00000000" w:rsidDel="00000000" w:rsidP="00000000" w:rsidRDefault="00000000" w:rsidRPr="00000000" w14:paraId="0000014E">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4F">
      <w:pPr>
        <w:rPr>
          <w:color w:val="000000"/>
        </w:rPr>
      </w:pPr>
      <w:r w:rsidDel="00000000" w:rsidR="00000000" w:rsidRPr="00000000">
        <w:rPr>
          <w:rtl w:val="0"/>
        </w:rPr>
      </w:r>
    </w:p>
    <w:p w:rsidR="00000000" w:rsidDel="00000000" w:rsidP="00000000" w:rsidRDefault="00000000" w:rsidRPr="00000000" w14:paraId="00000150">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1">
      <w:pPr>
        <w:rPr>
          <w:sz w:val="22"/>
          <w:szCs w:val="22"/>
        </w:rPr>
      </w:pPr>
      <w:r w:rsidDel="00000000" w:rsidR="00000000" w:rsidRPr="00000000">
        <w:rPr>
          <w:rtl w:val="0"/>
        </w:rPr>
      </w:r>
    </w:p>
    <w:p w:rsidR="00000000" w:rsidDel="00000000" w:rsidP="00000000" w:rsidRDefault="00000000" w:rsidRPr="00000000" w14:paraId="00000152">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8">
    <w:pPr>
      <w:tabs>
        <w:tab w:val="left" w:pos="468"/>
        <w:tab w:val="right"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59">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A">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5B">
    <w:pPr>
      <w:tabs>
        <w:tab w:val="left" w:pos="468"/>
        <w:tab w:val="right"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54">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4454</wp:posOffset>
                </wp:positionH>
                <wp:positionV relativeFrom="paragraph">
                  <wp:posOffset>-79368</wp:posOffset>
                </wp:positionV>
                <wp:extent cx="1477645" cy="215900"/>
                <wp:effectExtent b="0" l="0" r="0" t="0"/>
                <wp:wrapNone/>
                <wp:docPr id="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55">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6">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57">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ao+4QcIQByk0tzseZ3Y9JihgNYA==">AMUW2mUzrUAGRqylcueIX4Jgbs9wmaTP9CviOXc4e62wETIJNh2YVncw7scSGb0vnS91rUpa1UUHml/QX9snG/Hfrj0omjM1lmNUO0yq+UbptKyV7WQ62dNkcpVJbpVbUq2fvI0KHCYdfmnRwrXQrCWiulmZg4f5RK2uY4GEqQYtPzQsMlcQuTwfulVJkGI4wuQKg3/GEKIz8Y21YsCK17RJ/N2b4p2oVkLvqpNmLw8YZil687R7IhtVyUE2Wpt9F30+OU5WzmiC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