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Legal Support to the Development of Power Generation Projects in Vietnam</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reference:RFP/2022/44358</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3270"/>
        <w:gridCol w:w="2745"/>
        <w:gridCol w:w="3045"/>
        <w:tblGridChange w:id="0">
          <w:tblGrid>
            <w:gridCol w:w="570"/>
            <w:gridCol w:w="3270"/>
            <w:gridCol w:w="2745"/>
            <w:gridCol w:w="3045"/>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Payment Percentage</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Total Price</w:t>
            </w:r>
          </w:p>
          <w:p w:rsidR="00000000" w:rsidDel="00000000" w:rsidP="00000000" w:rsidRDefault="00000000" w:rsidRPr="00000000" w14:paraId="00000020">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1">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rPr>
                <w:b w:val="1"/>
              </w:rPr>
            </w:pPr>
            <w:r w:rsidDel="00000000" w:rsidR="00000000" w:rsidRPr="00000000">
              <w:rPr>
                <w:b w:val="1"/>
                <w:rtl w:val="0"/>
              </w:rPr>
              <w:t xml:space="preserve">First Report - </w:t>
            </w:r>
          </w:p>
          <w:p w:rsidR="00000000" w:rsidDel="00000000" w:rsidP="00000000" w:rsidRDefault="00000000" w:rsidRPr="00000000" w14:paraId="00000023">
            <w:pPr>
              <w:widowControl w:val="0"/>
              <w:rPr/>
            </w:pPr>
            <w:r w:rsidDel="00000000" w:rsidR="00000000" w:rsidRPr="00000000">
              <w:rPr>
                <w:rtl w:val="0"/>
              </w:rPr>
              <w:t xml:space="preserve">First Draft of Output i-iv</w:t>
            </w:r>
            <w:r w:rsidDel="00000000" w:rsidR="00000000" w:rsidRPr="00000000">
              <w:rPr>
                <w:rtl w:val="0"/>
              </w:rPr>
            </w:r>
          </w:p>
        </w:tc>
        <w:tc>
          <w:tcPr>
            <w:vAlign w:val="center"/>
          </w:tcPr>
          <w:p w:rsidR="00000000" w:rsidDel="00000000" w:rsidP="00000000" w:rsidRDefault="00000000" w:rsidRPr="00000000" w14:paraId="00000024">
            <w:pPr>
              <w:jc w:val="center"/>
              <w:rPr/>
            </w:pPr>
            <w:r w:rsidDel="00000000" w:rsidR="00000000" w:rsidRPr="00000000">
              <w:rPr>
                <w:rtl w:val="0"/>
              </w:rPr>
              <w:t xml:space="preserve">40% </w:t>
            </w:r>
            <w:r w:rsidDel="00000000" w:rsidR="00000000" w:rsidRPr="00000000">
              <w:rPr>
                <w:rtl w:val="0"/>
              </w:rPr>
              <w:t xml:space="preserve">from the total Lump  sum Contract Amount</w:t>
            </w:r>
            <w:r w:rsidDel="00000000" w:rsidR="00000000" w:rsidRPr="00000000">
              <w:rPr>
                <w:rtl w:val="0"/>
              </w:rPr>
            </w:r>
          </w:p>
        </w:tc>
        <w:tc>
          <w:tcPr>
            <w:vAlign w:val="center"/>
          </w:tcPr>
          <w:p w:rsidR="00000000" w:rsidDel="00000000" w:rsidP="00000000" w:rsidRDefault="00000000" w:rsidRPr="00000000" w14:paraId="00000025">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rPr>
                <w:b w:val="1"/>
              </w:rPr>
            </w:pPr>
            <w:r w:rsidDel="00000000" w:rsidR="00000000" w:rsidRPr="00000000">
              <w:rPr>
                <w:b w:val="1"/>
                <w:rtl w:val="0"/>
              </w:rPr>
              <w:t xml:space="preserve">Final Report </w:t>
            </w:r>
          </w:p>
          <w:p w:rsidR="00000000" w:rsidDel="00000000" w:rsidP="00000000" w:rsidRDefault="00000000" w:rsidRPr="00000000" w14:paraId="00000028">
            <w:pPr>
              <w:rPr/>
            </w:pPr>
            <w:r w:rsidDel="00000000" w:rsidR="00000000" w:rsidRPr="00000000">
              <w:rPr>
                <w:rtl w:val="0"/>
              </w:rPr>
              <w:t xml:space="preserve">Finalization of all Outputs (Output i-vi)</w:t>
            </w:r>
            <w:r w:rsidDel="00000000" w:rsidR="00000000" w:rsidRPr="00000000">
              <w:rPr>
                <w:rtl w:val="0"/>
              </w:rPr>
              <w:t xml:space="preserve">t  </w:t>
            </w:r>
          </w:p>
        </w:tc>
        <w:tc>
          <w:tcPr>
            <w:vAlign w:val="center"/>
          </w:tcPr>
          <w:p w:rsidR="00000000" w:rsidDel="00000000" w:rsidP="00000000" w:rsidRDefault="00000000" w:rsidRPr="00000000" w14:paraId="00000029">
            <w:pPr>
              <w:jc w:val="center"/>
              <w:rPr/>
            </w:pPr>
            <w:r w:rsidDel="00000000" w:rsidR="00000000" w:rsidRPr="00000000">
              <w:rPr>
                <w:rtl w:val="0"/>
              </w:rPr>
              <w:t xml:space="preserve">6</w:t>
            </w:r>
            <w:r w:rsidDel="00000000" w:rsidR="00000000" w:rsidRPr="00000000">
              <w:rPr>
                <w:rtl w:val="0"/>
              </w:rPr>
              <w:t xml:space="preserve">0% from the total Lump  sum Contract Amount</w:t>
            </w:r>
          </w:p>
        </w:tc>
        <w:tc>
          <w:tcPr>
            <w:vAlign w:val="center"/>
          </w:tcPr>
          <w:p w:rsidR="00000000" w:rsidDel="00000000" w:rsidP="00000000" w:rsidRDefault="00000000" w:rsidRPr="00000000" w14:paraId="0000002A">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2B">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2D">
            <w:pPr>
              <w:jc w:val="center"/>
              <w:rPr>
                <w:b w:val="1"/>
              </w:rPr>
            </w:pPr>
            <w:r w:rsidDel="00000000" w:rsidR="00000000" w:rsidRPr="00000000">
              <w:rPr>
                <w:rtl w:val="0"/>
              </w:rPr>
            </w:r>
          </w:p>
        </w:tc>
        <w:tc>
          <w:tcPr>
            <w:vAlign w:val="center"/>
          </w:tcPr>
          <w:p w:rsidR="00000000" w:rsidDel="00000000" w:rsidP="00000000" w:rsidRDefault="00000000" w:rsidRPr="00000000" w14:paraId="0000002E">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2F">
      <w:pPr>
        <w:spacing w:before="7" w:line="220" w:lineRule="auto"/>
        <w:rPr>
          <w:highlight w:val="magenta"/>
        </w:rPr>
      </w:pPr>
      <w:r w:rsidDel="00000000" w:rsidR="00000000" w:rsidRPr="00000000">
        <w:rPr>
          <w:rtl w:val="0"/>
        </w:rPr>
      </w:r>
    </w:p>
    <w:p w:rsidR="00000000" w:rsidDel="00000000" w:rsidP="00000000" w:rsidRDefault="00000000" w:rsidRPr="00000000" w14:paraId="00000030">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1">
      <w:pPr>
        <w:spacing w:before="7" w:line="220" w:lineRule="auto"/>
        <w:rPr>
          <w:highlight w:val="magenta"/>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3">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5">
            <w:pPr>
              <w:ind w:right="-108"/>
              <w:jc w:val="center"/>
              <w:rPr>
                <w:b w:val="1"/>
              </w:rPr>
            </w:pPr>
            <w:r w:rsidDel="00000000" w:rsidR="00000000" w:rsidRPr="00000000">
              <w:rPr>
                <w:b w:val="1"/>
                <w:rtl w:val="0"/>
              </w:rPr>
              <w:t xml:space="preserve">Qty</w:t>
            </w:r>
          </w:p>
          <w:p w:rsidR="00000000" w:rsidDel="00000000" w:rsidP="00000000" w:rsidRDefault="00000000" w:rsidRPr="00000000" w14:paraId="00000036">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37">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38">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39">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3B">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3C">
            <w:pPr>
              <w:rPr/>
            </w:pPr>
            <w:r w:rsidDel="00000000" w:rsidR="00000000" w:rsidRPr="00000000">
              <w:rPr>
                <w:rtl w:val="0"/>
              </w:rPr>
            </w:r>
          </w:p>
        </w:tc>
        <w:tc>
          <w:tcPr>
            <w:vAlign w:val="center"/>
          </w:tcPr>
          <w:p w:rsidR="00000000" w:rsidDel="00000000" w:rsidP="00000000" w:rsidRDefault="00000000" w:rsidRPr="00000000" w14:paraId="0000003D">
            <w:pPr>
              <w:rPr/>
            </w:pPr>
            <w:r w:rsidDel="00000000" w:rsidR="00000000" w:rsidRPr="00000000">
              <w:rPr>
                <w:rtl w:val="0"/>
              </w:rPr>
            </w:r>
          </w:p>
        </w:tc>
        <w:tc>
          <w:tcPr>
            <w:vAlign w:val="center"/>
          </w:tcPr>
          <w:p w:rsidR="00000000" w:rsidDel="00000000" w:rsidP="00000000" w:rsidRDefault="00000000" w:rsidRPr="00000000" w14:paraId="0000003E">
            <w:pPr>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0">
            <w:pPr>
              <w:rPr/>
            </w:pPr>
            <w:r w:rsidDel="00000000" w:rsidR="00000000" w:rsidRPr="00000000">
              <w:rPr>
                <w:rtl w:val="0"/>
              </w:rPr>
            </w:r>
          </w:p>
        </w:tc>
        <w:tc>
          <w:tcPr>
            <w:vAlign w:val="center"/>
          </w:tcPr>
          <w:p w:rsidR="00000000" w:rsidDel="00000000" w:rsidP="00000000" w:rsidRDefault="00000000" w:rsidRPr="00000000" w14:paraId="00000041">
            <w:pPr>
              <w:rPr/>
            </w:pPr>
            <w:r w:rsidDel="00000000" w:rsidR="00000000" w:rsidRPr="00000000">
              <w:rPr>
                <w:rtl w:val="0"/>
              </w:rPr>
            </w:r>
          </w:p>
        </w:tc>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5">
            <w:pPr>
              <w:rPr/>
            </w:pPr>
            <w:r w:rsidDel="00000000" w:rsidR="00000000" w:rsidRPr="00000000">
              <w:rPr>
                <w:rtl w:val="0"/>
              </w:rPr>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4A">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4">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5">
            <w:pPr>
              <w:rPr/>
            </w:pP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59">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5D">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5E">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2">
            <w:pPr>
              <w:rPr/>
            </w:pPr>
            <w:r w:rsidDel="00000000" w:rsidR="00000000" w:rsidRPr="00000000">
              <w:rPr>
                <w:rtl w:val="0"/>
              </w:rPr>
            </w:r>
          </w:p>
        </w:tc>
      </w:tr>
    </w:tbl>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tabs>
          <w:tab w:val="center" w:pos="4320"/>
          <w:tab w:val="right" w:pos="8640"/>
        </w:tabs>
        <w:rPr>
          <w:b w:val="1"/>
        </w:rPr>
      </w:pPr>
      <w:r w:rsidDel="00000000" w:rsidR="00000000" w:rsidRPr="00000000">
        <w:rPr>
          <w:rtl w:val="0"/>
        </w:rPr>
      </w:r>
    </w:p>
    <w:p w:rsidR="00000000" w:rsidDel="00000000" w:rsidP="00000000" w:rsidRDefault="00000000" w:rsidRPr="00000000" w14:paraId="0000006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B">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6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6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6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7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6">
      <w:pPr>
        <w:tabs>
          <w:tab w:val="left" w:pos="720"/>
        </w:tabs>
        <w:rPr>
          <w:color w:val="000000"/>
        </w:rPr>
      </w:pPr>
      <w:r w:rsidDel="00000000" w:rsidR="00000000" w:rsidRPr="00000000">
        <w:rPr>
          <w:rtl w:val="0"/>
        </w:rPr>
      </w:r>
    </w:p>
    <w:p w:rsidR="00000000" w:rsidDel="00000000" w:rsidP="00000000" w:rsidRDefault="00000000" w:rsidRPr="00000000" w14:paraId="0000007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C">
      <w:pPr>
        <w:rPr>
          <w:color w:val="000000"/>
        </w:rPr>
      </w:pPr>
      <w:r w:rsidDel="00000000" w:rsidR="00000000" w:rsidRPr="00000000">
        <w:rPr>
          <w:rtl w:val="0"/>
        </w:rPr>
      </w:r>
    </w:p>
    <w:p w:rsidR="00000000" w:rsidDel="00000000" w:rsidP="00000000" w:rsidRDefault="00000000" w:rsidRPr="00000000" w14:paraId="0000007D">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tabs>
        <w:tab w:val="left" w:pos="468"/>
        <w:tab w:val="right"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6">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4454</wp:posOffset>
                </wp:positionH>
                <wp:positionV relativeFrom="paragraph">
                  <wp:posOffset>-79368</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27upSDQxouUV42VSbC3UhiSBWA==">AMUW2mWeOCVOX233+rvOkk9SPNCGUx2rSrjh3Sy1o2+rQWA9qE30OVfNotuEMcQL2IWkXdSxL44Mpuq1IIAZ3DnzbdXrKU/Ooxq/CwvaIfMJG5YO0n66mkqYQZvh/UsnZPaPqq3LHPi0HcbAcJN67LSFtSH0h+euPMleAEDkUFOGoT8qvA4iW5tfYqBDuzq69nBAwndmYdvr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