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0" w:line="240" w:lineRule="auto"/>
        <w:jc w:val="both"/>
        <w:rPr>
          <w:color w:val="80808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spacing w:after="0" w:line="240" w:lineRule="auto"/>
        <w:jc w:val="both"/>
        <w:rPr>
          <w:color w:val="80808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="240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Annex H to the Call for Proposals (CFP)</w:t>
      </w:r>
    </w:p>
    <w:p w:rsidR="00000000" w:rsidDel="00000000" w:rsidP="00000000" w:rsidRDefault="00000000" w:rsidRPr="00000000" w14:paraId="00000004">
      <w:pPr>
        <w:pageBreakBefore w:val="0"/>
        <w:spacing w:after="0" w:line="240" w:lineRule="auto"/>
        <w:jc w:val="both"/>
        <w:rPr>
          <w:color w:val="80808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0" w:hanging="12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Project Title: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Program Management, Coordination, and Support in implementation of Assistive Technology (AT) activities to the Ministry of Health and Ministry of Social Welfare, Veterans and Youth Rehabilitation, Government of Cambodia  (2023-2025)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CFP Reference No.: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ATscale/Grant/2022/007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ab/>
        <w:t xml:space="preserve"> </w:t>
      </w:r>
    </w:p>
    <w:p w:rsidR="00000000" w:rsidDel="00000000" w:rsidP="00000000" w:rsidRDefault="00000000" w:rsidRPr="00000000" w14:paraId="00000008">
      <w:pPr>
        <w:pageBreakBefore w:val="0"/>
        <w:spacing w:after="0" w:line="240" w:lineRule="auto"/>
        <w:rPr>
          <w:rFonts w:ascii="Arial" w:cs="Arial" w:eastAsia="Arial" w:hAnsi="Arial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pBdr>
          <w:bottom w:color="000000" w:space="1" w:sz="12" w:val="single"/>
        </w:pBdr>
        <w:spacing w:after="0" w:line="240" w:lineRule="auto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Date: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DD MM YYYY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pBdr>
          <w:bottom w:color="000000" w:space="1" w:sz="12" w:val="single"/>
        </w:pBd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Proposal Submission Checklist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Prior to submission of your proposal, make sure you have all the items required for your proposal. You’ll need: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67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54"/>
        <w:gridCol w:w="3645"/>
        <w:gridCol w:w="1725"/>
        <w:gridCol w:w="3543"/>
        <w:tblGridChange w:id="0">
          <w:tblGrid>
            <w:gridCol w:w="654"/>
            <w:gridCol w:w="3645"/>
            <w:gridCol w:w="1725"/>
            <w:gridCol w:w="3543"/>
          </w:tblGrid>
        </w:tblGridChange>
      </w:tblGrid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Item</w:t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Document Name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Fully Completed (Yes/No)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Submission</w:t>
            </w:r>
          </w:p>
        </w:tc>
      </w:tr>
      <w:tr>
        <w:trPr>
          <w:cantSplit w:val="0"/>
          <w:trHeight w:val="510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CFP Annex A – Grant Application (including all Appendixes as below)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ind w:left="360" w:hanging="360"/>
              <w:rPr>
                <w:rFonts w:ascii="Arial" w:cs="Arial" w:eastAsia="Arial" w:hAnsi="Arial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Appendix 1: Consortium Application Partner Form (as applicable)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ind w:left="360" w:hanging="360"/>
              <w:rPr>
                <w:rFonts w:ascii="Arial" w:cs="Arial" w:eastAsia="Arial" w:hAnsi="Arial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Appendix 2: Project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Organizational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Chart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ind w:left="360" w:hanging="360"/>
              <w:rPr>
                <w:rFonts w:ascii="Arial" w:cs="Arial" w:eastAsia="Arial" w:hAnsi="Arial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Appendix 3: Logical Framework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ind w:left="360" w:hanging="360"/>
              <w:rPr>
                <w:rFonts w:ascii="Arial" w:cs="Arial" w:eastAsia="Arial" w:hAnsi="Arial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Appendix 4: Implementation Plan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ind w:left="360" w:hanging="360"/>
              <w:rPr>
                <w:rFonts w:ascii="Arial" w:cs="Arial" w:eastAsia="Arial" w:hAnsi="Arial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Appendix 5: Indicator Monitoring Plan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ind w:left="360" w:hanging="360"/>
              <w:rPr>
                <w:rFonts w:ascii="Arial" w:cs="Arial" w:eastAsia="Arial" w:hAnsi="Arial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Appendix 6: Risk Log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ind w:left="360" w:hanging="360"/>
              <w:rPr>
                <w:rFonts w:ascii="Arial" w:cs="Arial" w:eastAsia="Arial" w:hAnsi="Arial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Appendix 7: List of Past Experience</w:t>
            </w:r>
          </w:p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numPr>
                <w:ilvl w:val="0"/>
                <w:numId w:val="3"/>
              </w:numPr>
              <w:ind w:left="0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2"/>
                <w:szCs w:val="22"/>
                <w:rtl w:val="0"/>
              </w:rPr>
              <w:t xml:space="preserve">☐ Yes, Included in submission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CFP Annex B – Grant Budget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i w:val="1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2"/>
                <w:szCs w:val="22"/>
                <w:rtl w:val="0"/>
              </w:rPr>
              <w:t xml:space="preserve">☐ Yes, Included in submission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CFP Annex F - Due Diligence Questionnaire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2"/>
                <w:szCs w:val="22"/>
                <w:rtl w:val="0"/>
              </w:rPr>
              <w:t xml:space="preserve">☐ Yes, Included in submission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pageBreakBefore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Supporting documents:</w:t>
      </w:r>
    </w:p>
    <w:p w:rsidR="00000000" w:rsidDel="00000000" w:rsidP="00000000" w:rsidRDefault="00000000" w:rsidRPr="00000000" w14:paraId="0000002B">
      <w:pPr>
        <w:pageBreakBefore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Additional documentation as required in Section 5. Evaluation Criteria, Minimum Requirements/Qualifications;</w:t>
      </w:r>
    </w:p>
    <w:p w:rsidR="00000000" w:rsidDel="00000000" w:rsidP="00000000" w:rsidRDefault="00000000" w:rsidRPr="00000000" w14:paraId="0000002D">
      <w:pPr>
        <w:spacing w:after="0" w:before="120" w:line="288" w:lineRule="auto"/>
        <w:ind w:left="72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☐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 Status as a non-profit, NGO, or UN</w:t>
      </w:r>
    </w:p>
    <w:p w:rsidR="00000000" w:rsidDel="00000000" w:rsidP="00000000" w:rsidRDefault="00000000" w:rsidRPr="00000000" w14:paraId="0000002E">
      <w:pPr>
        <w:pageBreakBefore w:val="0"/>
        <w:spacing w:after="0" w:line="240" w:lineRule="auto"/>
        <w:ind w:left="720" w:firstLine="0"/>
        <w:rPr>
          <w:rFonts w:ascii="Open Sans" w:cs="Open Sans" w:eastAsia="Open Sans" w:hAnsi="Open Sans"/>
          <w:sz w:val="17"/>
          <w:szCs w:val="17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☐  Registration in the program country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spacing w:after="0" w:line="240" w:lineRule="auto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spacing w:after="0" w:line="240" w:lineRule="auto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spacing w:after="0" w:line="240" w:lineRule="auto"/>
        <w:rPr>
          <w:color w:val="4f81bd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630" w:top="630" w:left="1530" w:right="1196" w:header="1152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Arial Unicode MS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pen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4657725</wp:posOffset>
          </wp:positionH>
          <wp:positionV relativeFrom="paragraph">
            <wp:posOffset>114300</wp:posOffset>
          </wp:positionV>
          <wp:extent cx="1547256" cy="561975"/>
          <wp:effectExtent b="0" l="0" r="0" t="0"/>
          <wp:wrapNone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47256" cy="56197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-76199</wp:posOffset>
          </wp:positionH>
          <wp:positionV relativeFrom="paragraph">
            <wp:posOffset>-571499</wp:posOffset>
          </wp:positionV>
          <wp:extent cx="1999283" cy="674117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9283" cy="674117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">
    <w:lvl w:ilvl="0">
      <w:start w:val="1"/>
      <w:numFmt w:val="bullet"/>
      <w:lvlText w:val=""/>
      <w:lvlJc w:val="left"/>
      <w:pPr>
        <w:ind w:left="720" w:hanging="36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200" w:line="24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Relationship Id="rId5" Type="http://schemas.openxmlformats.org/officeDocument/2006/relationships/font" Target="fonts/OpenSans-regular.ttf"/><Relationship Id="rId6" Type="http://schemas.openxmlformats.org/officeDocument/2006/relationships/font" Target="fonts/OpenSans-bold.ttf"/><Relationship Id="rId7" Type="http://schemas.openxmlformats.org/officeDocument/2006/relationships/font" Target="fonts/OpenSans-italic.ttf"/><Relationship Id="rId8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