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Rule="auto"/>
        <w:jc w:val="center"/>
        <w:rPr>
          <w:rFonts w:ascii="Roboto" w:cs="Roboto" w:eastAsia="Roboto" w:hAnsi="Roboto"/>
          <w:b w:val="1"/>
          <w:color w:val="152763"/>
        </w:rPr>
      </w:pPr>
      <w:bookmarkStart w:colFirst="0" w:colLast="0" w:name="_gjdgxs" w:id="0"/>
      <w:bookmarkEnd w:id="0"/>
      <w:r w:rsidDel="00000000" w:rsidR="00000000" w:rsidRPr="00000000">
        <w:rPr>
          <w:rFonts w:ascii="Roboto" w:cs="Roboto" w:eastAsia="Roboto" w:hAnsi="Roboto"/>
          <w:b w:val="1"/>
          <w:color w:val="152763"/>
          <w:rtl w:val="0"/>
        </w:rPr>
        <w:t xml:space="preserve">Governance in Justice Project Phase II</w:t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Rule="auto"/>
        <w:jc w:val="center"/>
        <w:rPr>
          <w:rFonts w:ascii="Roboto" w:cs="Roboto" w:eastAsia="Roboto" w:hAnsi="Roboto"/>
          <w:b w:val="1"/>
          <w:color w:val="152763"/>
        </w:rPr>
      </w:pPr>
      <w:bookmarkStart w:colFirst="0" w:colLast="0" w:name="_pgdxz1p2fpuc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Rule="auto"/>
        <w:jc w:val="center"/>
        <w:rPr>
          <w:rFonts w:ascii="Roboto" w:cs="Roboto" w:eastAsia="Roboto" w:hAnsi="Roboto"/>
          <w:b w:val="1"/>
          <w:color w:val="152763"/>
        </w:rPr>
      </w:pPr>
      <w:bookmarkStart w:colFirst="0" w:colLast="0" w:name="_1fob9te" w:id="2"/>
      <w:bookmarkEnd w:id="2"/>
      <w:r w:rsidDel="00000000" w:rsidR="00000000" w:rsidRPr="00000000">
        <w:rPr>
          <w:rFonts w:ascii="Roboto" w:cs="Roboto" w:eastAsia="Roboto" w:hAnsi="Roboto"/>
          <w:b w:val="1"/>
          <w:color w:val="152763"/>
          <w:rtl w:val="0"/>
        </w:rPr>
        <w:t xml:space="preserve">No Conflict of Interest Declaration Form </w:t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Rule="auto"/>
        <w:jc w:val="center"/>
        <w:rPr>
          <w:rFonts w:ascii="Roboto" w:cs="Roboto" w:eastAsia="Roboto" w:hAnsi="Roboto"/>
          <w:b w:val="1"/>
          <w:color w:val="152763"/>
        </w:rPr>
      </w:pPr>
      <w:bookmarkStart w:colFirst="0" w:colLast="0" w:name="_ax74u3vic3sa" w:id="3"/>
      <w:bookmarkEnd w:id="3"/>
      <w:r w:rsidDel="00000000" w:rsidR="00000000" w:rsidRPr="00000000">
        <w:rPr>
          <w:rFonts w:ascii="Roboto" w:cs="Roboto" w:eastAsia="Roboto" w:hAnsi="Roboto"/>
          <w:b w:val="1"/>
          <w:color w:val="152763"/>
          <w:rtl w:val="0"/>
        </w:rPr>
        <w:t xml:space="preserve">Window 3, Round 2 Access to Justice and Legal Empowerment Grant </w:t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Rule="auto"/>
        <w:jc w:val="center"/>
        <w:rPr>
          <w:rFonts w:ascii="Roboto" w:cs="Roboto" w:eastAsia="Roboto" w:hAnsi="Roboto"/>
          <w:b w:val="1"/>
          <w:color w:val="152763"/>
        </w:rPr>
      </w:pPr>
      <w:bookmarkStart w:colFirst="0" w:colLast="0" w:name="_lan08fkk0pzc" w:id="4"/>
      <w:bookmarkEnd w:id="4"/>
      <w:r w:rsidDel="00000000" w:rsidR="00000000" w:rsidRPr="00000000">
        <w:rPr>
          <w:rFonts w:ascii="Roboto" w:cs="Roboto" w:eastAsia="Roboto" w:hAnsi="Roboto"/>
          <w:b w:val="1"/>
          <w:color w:val="152763"/>
          <w:rtl w:val="0"/>
        </w:rPr>
        <w:t xml:space="preserve">for Vulnerable Sectors</w:t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Rule="auto"/>
        <w:jc w:val="left"/>
        <w:rPr>
          <w:rFonts w:ascii="Roboto" w:cs="Roboto" w:eastAsia="Roboto" w:hAnsi="Roboto"/>
          <w:b w:val="1"/>
          <w:color w:val="152763"/>
        </w:rPr>
      </w:pPr>
      <w:bookmarkStart w:colFirst="0" w:colLast="0" w:name="_3znysh7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b w:val="1"/>
          <w:highlight w:val="white"/>
        </w:rPr>
      </w:pPr>
      <w:bookmarkStart w:colFirst="0" w:colLast="0" w:name="_2et92p0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</w:rPr>
      </w:pPr>
      <w:bookmarkStart w:colFirst="0" w:colLast="0" w:name="_moywzlokbj5x" w:id="7"/>
      <w:bookmarkEnd w:id="7"/>
      <w:r w:rsidDel="00000000" w:rsidR="00000000" w:rsidRPr="00000000">
        <w:rPr>
          <w:rFonts w:ascii="Roboto" w:cs="Roboto" w:eastAsia="Roboto" w:hAnsi="Roboto"/>
          <w:b w:val="1"/>
          <w:highlight w:val="white"/>
          <w:rtl w:val="0"/>
        </w:rPr>
        <w:t xml:space="preserve">CONFLICT OF INTEREST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Roboto" w:cs="Roboto" w:eastAsia="Roboto" w:hAnsi="Roboto"/>
        </w:rPr>
      </w:pPr>
      <w:bookmarkStart w:colFirst="0" w:colLast="0" w:name="_tyjcwt" w:id="8"/>
      <w:bookmarkEnd w:id="8"/>
      <w:r w:rsidDel="00000000" w:rsidR="00000000" w:rsidRPr="00000000">
        <w:rPr>
          <w:rFonts w:ascii="Roboto" w:cs="Roboto" w:eastAsia="Roboto" w:hAnsi="Roboto"/>
          <w:rtl w:val="0"/>
        </w:rPr>
        <w:t xml:space="preserve">A “conflict of interest” (COI) exists when personal interests interfere, or appear to interfere, with an Implementing Partner’s (IP) ability to execute the work that entails a specific activity, in an objective and impartial way. In order to be eligible for a Grant, an Implementing Partner must not have any “potential or actual” Conflict of Interest.</w:t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Roboto" w:cs="Roboto" w:eastAsia="Roboto" w:hAnsi="Roboto"/>
        </w:rPr>
      </w:pPr>
      <w:bookmarkStart w:colFirst="0" w:colLast="0" w:name="_3dy6vkm" w:id="9"/>
      <w:bookmarkEnd w:id="9"/>
      <w:r w:rsidDel="00000000" w:rsidR="00000000" w:rsidRPr="00000000">
        <w:rPr>
          <w:rFonts w:ascii="Roboto" w:cs="Roboto" w:eastAsia="Roboto" w:hAnsi="Roboto"/>
          <w:rtl w:val="0"/>
        </w:rPr>
        <w:t xml:space="preserve">An Implementing Partner (IP) shall be considered to have a conflict of interest if: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An IP 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has a close business or family relationship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with a UNOPS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and/or the British Council’s Technical Assistance Team (BC-TAT) 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personnel who: (i) are directly or indirectly involved in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any process related to GOJUST II Grant Facility’s processes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(ii) would be involved in the implementation or supervision of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the Grant Agreement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; and,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An IP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is associated, or has been associated in the past, directly or indirectly, with a firm or any of its affiliates which have been engaged by UNOPS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and/or British Council’s Technical Assistance Team t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 provide consulting services for the preparation of the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u w:val="none"/>
          <w:shd w:fill="fff2cc" w:val="clear"/>
          <w:vertAlign w:val="baseline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design, specifications, and other documents t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 be used for the procurement of the goods, services or works required in the present process</w:t>
      </w:r>
      <w:r w:rsidDel="00000000" w:rsidR="00000000" w:rsidRPr="00000000">
        <w:rPr>
          <w:rFonts w:ascii="Roboto" w:cs="Roboto" w:eastAsia="Roboto" w:hAnsi="Roboto"/>
          <w:rtl w:val="0"/>
        </w:rPr>
        <w:t xml:space="preserve">.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IPs must disclose any actual or potential conflict of interest and they shall be deemed ineligible for this process unless such conflict of interest is resolved in a manner acceptable to UNOPS. Failure to disclose any actual or potential conflict of interest may lead to the IP being sanctioned further to UNOPS policy on vendor sanctions.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By signing this form you hereby declare that: 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You are not currently aware of any actual, potential or perceived COI in relation to the grant support process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You will undertake to carry out your duties with the highest degree of objectivity and integrity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You will act only in the interests of GOJUST II and not represent any other entity’s commercial, political or other interest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You have no reason to believe that you or a member of your family may receive a benefit – whether financial or non-financial – in relation to your participation in GOJUSTII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You understand that you are required to declare any actual, potential, or perceived COI that arises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If you become aware of any actual or perceived COI after you sign this form, you will immediately (i) cease participating in the grant support process; and (ii) disclose in writing the conflict to UNOPS Senior Project Manager and the GOJUSTII Team Leader by emailing gojustgrants@unops.org.</w:t>
      </w:r>
    </w:p>
    <w:p w:rsidR="00000000" w:rsidDel="00000000" w:rsidP="00000000" w:rsidRDefault="00000000" w:rsidRPr="00000000" w14:paraId="00000015">
      <w:pPr>
        <w:spacing w:line="276" w:lineRule="auto"/>
        <w:ind w:left="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CFP name and number:</w:t>
      </w:r>
    </w:p>
    <w:p w:rsidR="00000000" w:rsidDel="00000000" w:rsidP="00000000" w:rsidRDefault="00000000" w:rsidRPr="00000000" w14:paraId="0000001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 </w:t>
      </w:r>
    </w:p>
    <w:tbl>
      <w:tblPr>
        <w:tblStyle w:val="Table1"/>
        <w:tblW w:w="9450.0" w:type="dxa"/>
        <w:jc w:val="left"/>
        <w:tblInd w:w="-90.0" w:type="dxa"/>
        <w:tblBorders>
          <w:top w:color="808080" w:space="0" w:sz="6" w:val="single"/>
          <w:left w:color="808080" w:space="0" w:sz="6" w:val="single"/>
          <w:bottom w:color="808080" w:space="0" w:sz="6" w:val="single"/>
          <w:right w:color="808080" w:space="0" w:sz="6" w:val="single"/>
          <w:insideH w:color="808080" w:space="0" w:sz="6" w:val="single"/>
          <w:insideV w:color="808080" w:space="0" w:sz="6" w:val="single"/>
        </w:tblBorders>
        <w:tblLayout w:type="fixed"/>
        <w:tblLook w:val="0600"/>
      </w:tblPr>
      <w:tblGrid>
        <w:gridCol w:w="4320"/>
        <w:gridCol w:w="450"/>
        <w:gridCol w:w="4680"/>
        <w:tblGridChange w:id="0">
          <w:tblGrid>
            <w:gridCol w:w="4320"/>
            <w:gridCol w:w="450"/>
            <w:gridCol w:w="4680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40" w:before="40" w:line="276" w:lineRule="auto"/>
              <w:ind w:left="-80" w:firstLine="0"/>
              <w:jc w:val="both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40" w:before="40" w:line="276" w:lineRule="auto"/>
              <w:ind w:left="-80" w:firstLine="0"/>
              <w:jc w:val="both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40" w:before="40" w:line="276" w:lineRule="auto"/>
              <w:ind w:left="-80" w:firstLine="0"/>
              <w:jc w:val="both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 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40" w:before="40" w:line="276" w:lineRule="auto"/>
              <w:ind w:left="90" w:firstLine="0"/>
              <w:jc w:val="both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Name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40" w:before="40" w:line="276" w:lineRule="auto"/>
              <w:ind w:left="-80" w:firstLine="0"/>
              <w:jc w:val="both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40" w:before="40" w:line="276" w:lineRule="auto"/>
              <w:ind w:left="-80" w:firstLine="170"/>
              <w:jc w:val="both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Signature </w:t>
            </w:r>
          </w:p>
        </w:tc>
      </w:tr>
      <w:tr>
        <w:trPr>
          <w:cantSplit w:val="0"/>
          <w:trHeight w:val="93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40" w:before="40" w:line="276" w:lineRule="auto"/>
              <w:ind w:left="-80" w:firstLine="0"/>
              <w:jc w:val="both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40" w:before="40" w:line="276" w:lineRule="auto"/>
              <w:ind w:left="-80" w:firstLine="0"/>
              <w:jc w:val="both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40" w:before="40" w:line="276" w:lineRule="auto"/>
              <w:ind w:left="-80" w:firstLine="0"/>
              <w:jc w:val="both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40" w:before="40" w:line="276" w:lineRule="auto"/>
              <w:ind w:left="-80" w:firstLine="0"/>
              <w:jc w:val="both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40" w:before="40" w:line="276" w:lineRule="auto"/>
              <w:ind w:left="-80" w:firstLine="0"/>
              <w:jc w:val="both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 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40" w:before="40" w:line="276" w:lineRule="auto"/>
              <w:ind w:left="90" w:firstLine="0"/>
              <w:jc w:val="both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Designation &amp; Organization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40" w:before="40" w:line="276" w:lineRule="auto"/>
              <w:ind w:left="-80" w:firstLine="0"/>
              <w:jc w:val="both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40" w:before="40" w:line="276" w:lineRule="auto"/>
              <w:ind w:left="90" w:firstLine="0"/>
              <w:jc w:val="both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Date </w:t>
            </w:r>
          </w:p>
        </w:tc>
      </w:tr>
    </w:tbl>
    <w:p w:rsidR="00000000" w:rsidDel="00000000" w:rsidP="00000000" w:rsidRDefault="00000000" w:rsidRPr="00000000" w14:paraId="00000027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Examples include GOJUST II personnel from the UNOPS and British Council Technical Assistance Team are members of the applicant’s Board of Trustees or Directors of the CSO applicant and/or are related to (spouse or a relative and family member within the third degree </w:t>
      </w: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or consanguinity</w:t>
      </w: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 or affinity) personnel of the CSO applicant. 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ind w:left="7200" w:firstLine="720"/>
      <w:rPr/>
    </w:pPr>
    <w:r w:rsidDel="00000000" w:rsidR="00000000" w:rsidRPr="00000000">
      <w:rPr>
        <w:rtl w:val="0"/>
      </w:rPr>
      <w:tab/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4200525</wp:posOffset>
          </wp:positionH>
          <wp:positionV relativeFrom="paragraph">
            <wp:posOffset>-14286</wp:posOffset>
          </wp:positionV>
          <wp:extent cx="1966913" cy="324294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66913" cy="32429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