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Security Form (Bank Guarantee)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br w:type="textWrapping"/>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05">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the ITB]</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09">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0A">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0B">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0C">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0D">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0E">
      <w:pPr>
        <w:rPr/>
      </w:pPr>
      <w:r w:rsidDel="00000000" w:rsidR="00000000" w:rsidRPr="00000000">
        <w:rPr>
          <w:rtl w:val="0"/>
        </w:rPr>
        <w:t xml:space="preserve">______________________________</w:t>
      </w:r>
    </w:p>
    <w:p w:rsidR="00000000" w:rsidDel="00000000" w:rsidP="00000000" w:rsidRDefault="00000000" w:rsidRPr="00000000" w14:paraId="0000000F">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10">
      <w:pPr>
        <w:rPr>
          <w:highlight w:val="lightGray"/>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237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v2017.1</w:t>
      <w:tab/>
      <w:tab/>
      <w:tab/>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2376"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gjdgxs" w:id="0"/>
    <w:bookmarkEnd w:id="0"/>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ind w:left="7920" w:firstLine="720"/>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-97154</wp:posOffset>
          </wp:positionH>
          <wp:positionV relativeFrom="paragraph">
            <wp:posOffset>38735</wp:posOffset>
          </wp:positionV>
          <wp:extent cx="1477645" cy="21590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