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</w:t>
      </w:r>
      <w:r w:rsidDel="00000000" w:rsidR="00000000" w:rsidRPr="00000000">
        <w:rPr>
          <w:b w:val="1"/>
          <w:rtl w:val="0"/>
        </w:rPr>
        <w:t xml:space="preserve">ference: RFP/2022/43654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jc w:val="both"/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F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N/A</w:t>
      </w:r>
    </w:p>
    <w:p w:rsidR="00000000" w:rsidDel="00000000" w:rsidP="00000000" w:rsidRDefault="00000000" w:rsidRPr="00000000" w14:paraId="00000015">
      <w:pPr>
        <w:rPr>
          <w:b w:val="1"/>
          <w:highlight w:val="lightGray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 Pr</w:t>
      </w:r>
      <w:r w:rsidDel="00000000" w:rsidR="00000000" w:rsidRPr="00000000">
        <w:rPr>
          <w:b w:val="1"/>
          <w:color w:val="0095d1"/>
          <w:sz w:val="28"/>
          <w:szCs w:val="28"/>
          <w:rtl w:val="0"/>
        </w:rPr>
        <w:t xml:space="preserve">ofessional Services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tabs>
        <w:tab w:val="left" w:pos="468"/>
        <w:tab w:val="right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4451</wp:posOffset>
                </wp:positionH>
                <wp:positionV relativeFrom="paragraph">
                  <wp:posOffset>-69845</wp:posOffset>
                </wp:positionV>
                <wp:extent cx="1477645" cy="215900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3F541B"/>
    <w:rPr>
      <w:color w:val="0095d1"/>
    </w:rPr>
  </w:style>
  <w:style w:type="character" w:styleId="HeadlineChar" w:customStyle="1">
    <w:name w:val="Headline Char"/>
    <w:basedOn w:val="Heading1Char"/>
    <w:link w:val="Headline"/>
    <w:rsid w:val="003F541B"/>
    <w:rPr>
      <w:rFonts w:ascii="Arial" w:hAnsi="Arial"/>
      <w:b w:val="1"/>
      <w:bCs w:val="1"/>
      <w:color w:val="0095d1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7F7878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7878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7878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QCRtOu5F5xoz7vr1VCq4tKWWAA==">AMUW2mVnBT3F1S06ODAUp9I7rynrbtPAa6GHGy9oe8eI4OG15A3p4vMkb7eIGVYmiErpHfqyQgCyj9FIvoX87raxWL5b9gJBVIF3ohhhcxHT8HFpuQSNg28=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2015-12-18T10:25:00Z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