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pageBreakBefore w:val="0"/>
        <w:rPr>
          <w:color w:val="000000"/>
          <w:sz w:val="20"/>
          <w:szCs w:val="20"/>
        </w:rPr>
      </w:pPr>
      <w:r w:rsidDel="00000000" w:rsidR="00000000" w:rsidRPr="00000000">
        <w:rPr>
          <w:color w:val="0092d1"/>
          <w:rtl w:val="0"/>
        </w:rPr>
        <w:t xml:space="preserve">Contract for Small Services </w:t>
      </w:r>
      <w:r w:rsidDel="00000000" w:rsidR="00000000" w:rsidRPr="00000000">
        <w:rPr>
          <w:color w:val="0092d1"/>
          <w:highlight w:val="lightGray"/>
          <w:rtl w:val="0"/>
        </w:rPr>
        <w:t xml:space="preserve">UNOPS-SIDAPRO-2022-S-015</w:t>
      </w:r>
      <w:r w:rsidDel="00000000" w:rsidR="00000000" w:rsidRPr="00000000">
        <w:rPr>
          <w:rtl w:val="0"/>
        </w:rPr>
      </w:r>
    </w:p>
    <w:p w:rsidR="00000000" w:rsidDel="00000000" w:rsidP="00000000" w:rsidRDefault="00000000" w:rsidRPr="00000000" w14:paraId="00000004">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no later than </w:t>
      </w:r>
      <w:r w:rsidDel="00000000" w:rsidR="00000000" w:rsidRPr="00000000">
        <w:rPr>
          <w:rFonts w:ascii="Arial" w:cs="Arial" w:eastAsia="Arial" w:hAnsi="Arial"/>
          <w:sz w:val="20"/>
          <w:szCs w:val="20"/>
          <w:rtl w:val="0"/>
        </w:rPr>
        <w:t xml:space="preserve">20 December 2022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2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 </w:t>
      </w:r>
      <w:r w:rsidDel="00000000" w:rsidR="00000000" w:rsidRPr="00000000">
        <w:rPr>
          <w:rtl w:val="0"/>
        </w:rPr>
      </w:r>
    </w:p>
    <w:p w:rsidR="00000000" w:rsidDel="00000000" w:rsidP="00000000" w:rsidRDefault="00000000" w:rsidRPr="00000000" w14:paraId="00000029">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r w:rsidDel="00000000" w:rsidR="00000000" w:rsidRPr="00000000">
        <w:rPr>
          <w:rtl w:val="0"/>
        </w:rPr>
      </w:r>
    </w:p>
    <w:p w:rsidR="00000000" w:rsidDel="00000000" w:rsidP="00000000" w:rsidRDefault="00000000" w:rsidRPr="00000000" w14:paraId="0000002A">
      <w:pPr>
        <w:pageBreakBefore w:val="0"/>
        <w:ind w:left="0" w:firstLine="0"/>
        <w:jc w:val="both"/>
        <w:rPr>
          <w:rFonts w:ascii="Arial" w:cs="Arial" w:eastAsia="Arial" w:hAnsi="Arial"/>
          <w:b w:val="1"/>
          <w:color w:val="000000"/>
          <w:sz w:val="20"/>
          <w:szCs w:val="20"/>
          <w:highlight w:val="lightGray"/>
          <w:u w:val="singl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r w:rsidDel="00000000" w:rsidR="00000000" w:rsidRPr="00000000">
        <w:br w:type="page"/>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both"/>
        <w:rPr>
          <w:rFonts w:ascii="Arial" w:cs="Arial" w:eastAsia="Arial" w:hAnsi="Arial"/>
          <w:sz w:val="20"/>
          <w:szCs w:val="20"/>
        </w:rPr>
      </w:pPr>
      <w:r w:rsidDel="00000000" w:rsidR="00000000" w:rsidRPr="00000000">
        <w:rPr>
          <w:rtl w:val="0"/>
        </w:rPr>
      </w:r>
    </w:p>
    <w:tbl>
      <w:tblPr>
        <w:tblStyle w:val="Table1"/>
        <w:tblW w:w="96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60"/>
        <w:gridCol w:w="1845"/>
        <w:gridCol w:w="3240"/>
        <w:tblGridChange w:id="0">
          <w:tblGrid>
            <w:gridCol w:w="4560"/>
            <w:gridCol w:w="1845"/>
            <w:gridCol w:w="3240"/>
          </w:tblGrid>
        </w:tblGridChange>
      </w:tblGrid>
      <w:tr>
        <w:trPr>
          <w:cantSplit w:val="0"/>
          <w:tblHeader w:val="0"/>
        </w:trPr>
        <w:tc>
          <w:tcPr/>
          <w:p w:rsidR="00000000" w:rsidDel="00000000" w:rsidP="00000000" w:rsidRDefault="00000000" w:rsidRPr="00000000" w14:paraId="00000033">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Milestone</w:t>
            </w:r>
          </w:p>
        </w:tc>
        <w:tc>
          <w:tcPr/>
          <w:p w:rsidR="00000000" w:rsidDel="00000000" w:rsidP="00000000" w:rsidRDefault="00000000" w:rsidRPr="00000000" w14:paraId="00000034">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w:t>
            </w:r>
          </w:p>
        </w:tc>
        <w:tc>
          <w:tcPr>
            <w:shd w:fill="auto" w:val="clear"/>
          </w:tcPr>
          <w:p w:rsidR="00000000" w:rsidDel="00000000" w:rsidP="00000000" w:rsidRDefault="00000000" w:rsidRPr="00000000" w14:paraId="00000035">
            <w:pPr>
              <w:spacing w:after="0" w:before="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 date </w:t>
            </w:r>
          </w:p>
          <w:p w:rsidR="00000000" w:rsidDel="00000000" w:rsidP="00000000" w:rsidRDefault="00000000" w:rsidRPr="00000000" w14:paraId="00000036">
            <w:pPr>
              <w:spacing w:before="12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(from contract signature)</w:t>
            </w:r>
          </w:p>
        </w:tc>
      </w:tr>
      <w:tr>
        <w:trPr>
          <w:cantSplit w:val="0"/>
          <w:tblHeader w:val="0"/>
        </w:trPr>
        <w:tc>
          <w:tcPr/>
          <w:p w:rsidR="00000000" w:rsidDel="00000000" w:rsidP="00000000" w:rsidRDefault="00000000" w:rsidRPr="00000000" w14:paraId="00000037">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Inception Report produced and approved</w:t>
            </w:r>
          </w:p>
        </w:tc>
        <w:tc>
          <w:tcPr/>
          <w:p w:rsidR="00000000" w:rsidDel="00000000" w:rsidP="00000000" w:rsidRDefault="00000000" w:rsidRPr="00000000" w14:paraId="00000038">
            <w:pPr>
              <w:spacing w:before="12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shd w:fill="auto" w:val="clear"/>
          </w:tcPr>
          <w:p w:rsidR="00000000" w:rsidDel="00000000" w:rsidP="00000000" w:rsidRDefault="00000000" w:rsidRPr="00000000" w14:paraId="00000039">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weeks</w:t>
            </w:r>
          </w:p>
        </w:tc>
      </w:tr>
      <w:tr>
        <w:trPr>
          <w:cantSplit w:val="0"/>
          <w:tblHeader w:val="0"/>
        </w:trPr>
        <w:tc>
          <w:tcPr/>
          <w:p w:rsidR="00000000" w:rsidDel="00000000" w:rsidP="00000000" w:rsidRDefault="00000000" w:rsidRPr="00000000" w14:paraId="0000003A">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Draft Evaluation Report produced, and circulated for comments (interviewed app. 50 stakeholders, 15 institutions/organizations)</w:t>
            </w:r>
          </w:p>
        </w:tc>
        <w:tc>
          <w:tcPr/>
          <w:p w:rsidR="00000000" w:rsidDel="00000000" w:rsidP="00000000" w:rsidRDefault="00000000" w:rsidRPr="00000000" w14:paraId="0000003B">
            <w:pPr>
              <w:spacing w:before="12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c>
          <w:tcPr>
            <w:shd w:fill="auto" w:val="clear"/>
          </w:tcPr>
          <w:p w:rsidR="00000000" w:rsidDel="00000000" w:rsidP="00000000" w:rsidRDefault="00000000" w:rsidRPr="00000000" w14:paraId="0000003C">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7 weeks</w:t>
            </w:r>
          </w:p>
        </w:tc>
      </w:tr>
      <w:tr>
        <w:trPr>
          <w:cantSplit w:val="0"/>
          <w:tblHeader w:val="0"/>
        </w:trPr>
        <w:tc>
          <w:tcPr/>
          <w:p w:rsidR="00000000" w:rsidDel="00000000" w:rsidP="00000000" w:rsidRDefault="00000000" w:rsidRPr="00000000" w14:paraId="0000003D">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Final Report will be presented to stakeholders through a workshop for app. 40 people</w:t>
            </w:r>
          </w:p>
        </w:tc>
        <w:tc>
          <w:tcPr/>
          <w:p w:rsidR="00000000" w:rsidDel="00000000" w:rsidP="00000000" w:rsidRDefault="00000000" w:rsidRPr="00000000" w14:paraId="0000003E">
            <w:pPr>
              <w:spacing w:before="12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c>
          <w:tcPr>
            <w:shd w:fill="auto" w:val="clear"/>
          </w:tcPr>
          <w:p w:rsidR="00000000" w:rsidDel="00000000" w:rsidP="00000000" w:rsidRDefault="00000000" w:rsidRPr="00000000" w14:paraId="0000003F">
            <w:pPr>
              <w:spacing w:before="12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 weeks</w:t>
            </w:r>
          </w:p>
        </w:tc>
      </w:tr>
    </w:tbl>
    <w:p w:rsidR="00000000" w:rsidDel="00000000" w:rsidP="00000000" w:rsidRDefault="00000000" w:rsidRPr="00000000" w14:paraId="00000040">
      <w:pPr>
        <w:widowControl w:val="0"/>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milestone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r w:rsidDel="00000000" w:rsidR="00000000" w:rsidRPr="00000000">
        <w:rPr>
          <w:rtl w:val="0"/>
        </w:rPr>
      </w:r>
    </w:p>
    <w:p w:rsidR="00000000" w:rsidDel="00000000" w:rsidP="00000000" w:rsidRDefault="00000000" w:rsidRPr="00000000" w14:paraId="00000045">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851"/>
        </w:tabs>
        <w:spacing w:after="120" w:before="360" w:line="240" w:lineRule="auto"/>
        <w:ind w:left="567" w:right="0" w:hanging="567"/>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8">
      <w:pPr>
        <w:pageBreakBefore w:val="0"/>
        <w:jc w:val="both"/>
        <w:rPr>
          <w:color w:val="000000"/>
        </w:rPr>
      </w:pPr>
      <w:r w:rsidDel="00000000" w:rsidR="00000000" w:rsidRPr="00000000">
        <w:rPr>
          <w:rtl w:val="0"/>
        </w:rPr>
      </w:r>
    </w:p>
    <w:p w:rsidR="00000000" w:rsidDel="00000000" w:rsidP="00000000" w:rsidRDefault="00000000" w:rsidRPr="00000000" w14:paraId="00000049">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4A">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B">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4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4D">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4E">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4F">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50">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51">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52">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53">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54">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55">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6">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57">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8">
      <w:pPr>
        <w:pageBreakBefore w:val="0"/>
        <w:jc w:val="both"/>
        <w:rPr>
          <w:rFonts w:ascii="Arial" w:cs="Arial" w:eastAsia="Arial" w:hAnsi="Arial"/>
          <w:sz w:val="20"/>
          <w:szCs w:val="20"/>
        </w:rPr>
      </w:pPr>
      <w:bookmarkStart w:colFirst="0" w:colLast="0" w:name="_heading=h.gjdgxs" w:id="0"/>
      <w:bookmarkEnd w:id="0"/>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59">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6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6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pStyle w:val="Heading1"/>
        <w:pageBreakBefore w:val="0"/>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70">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sz w:val="20"/>
          <w:szCs w:val="20"/>
          <w:rtl w:val="0"/>
        </w:rPr>
        <w:t xml:space="preserve">N/A</w:t>
      </w:r>
      <w:r w:rsidDel="00000000" w:rsidR="00000000" w:rsidRPr="00000000">
        <w:rPr>
          <w:rtl w:val="0"/>
        </w:rPr>
      </w:r>
    </w:p>
    <w:p w:rsidR="00000000" w:rsidDel="00000000" w:rsidP="00000000" w:rsidRDefault="00000000" w:rsidRPr="00000000" w14:paraId="00000072">
      <w:pPr>
        <w:pStyle w:val="Heading1"/>
        <w:pageBreakBefore w:val="0"/>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73">
      <w:pPr>
        <w:pageBreakBefore w:val="0"/>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74">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75">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76">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7">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78">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79">
      <w:pPr>
        <w:pageBreakBefore w:val="0"/>
        <w:rPr>
          <w:rFonts w:ascii="Arial" w:cs="Arial" w:eastAsia="Arial" w:hAnsi="Arial"/>
          <w:sz w:val="20"/>
          <w:szCs w:val="20"/>
        </w:rPr>
      </w:pPr>
      <w:r w:rsidDel="00000000" w:rsidR="00000000" w:rsidRPr="00000000">
        <w:rPr>
          <w:rtl w:val="0"/>
        </w:rPr>
      </w:r>
    </w:p>
    <w:sectPr>
      <w:headerReference r:id="rId8" w:type="default"/>
      <w:footerReference r:id="rId9"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6"/>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5"/>
      <w:numFmt w:val="decimal"/>
      <w:lvlText w:val="%1."/>
      <w:lvlJc w:val="left"/>
      <w:pPr>
        <w:ind w:left="720" w:hanging="363"/>
      </w:pPr>
      <w:rPr>
        <w:rFonts w:ascii="Arial" w:cs="Arial" w:eastAsia="Arial" w:hAnsi="Arial"/>
        <w:b w:val="1"/>
        <w:color w:val="4f81bd"/>
        <w:sz w:val="28"/>
        <w:szCs w:val="28"/>
      </w:rPr>
    </w:lvl>
    <w:lvl w:ilvl="1">
      <w:start w:val="5"/>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Pc1DeUHrwshTjpVKv280dTXrog==">AMUW2mXbjZreSiufhGP+jTiIF5Q03nNsEQPT4H/uaijxmITFVtjzneYsbNQ4/k5oYk6FsZV4EyrepW58rXjYFz6UUJL1bHWHxAMSPruquXsJo/TtNFXx+3x54XFkso7rNWWJ06Qx/JpH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