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A2" w:rsidRDefault="005A3A99">
      <w:pPr>
        <w:pStyle w:val="Heading1"/>
        <w:spacing w:before="0" w:after="0"/>
        <w:jc w:val="center"/>
        <w:rPr>
          <w:rFonts w:ascii="Open Sans" w:eastAsia="Open Sans" w:hAnsi="Open Sans" w:cs="Open Sans"/>
          <w:b/>
          <w:sz w:val="24"/>
          <w:szCs w:val="24"/>
        </w:rPr>
      </w:pPr>
      <w:bookmarkStart w:id="0" w:name="_gjdgxs" w:colFirst="0" w:colLast="0"/>
      <w:bookmarkEnd w:id="0"/>
      <w:r>
        <w:rPr>
          <w:rFonts w:ascii="Open Sans" w:eastAsia="Open Sans" w:hAnsi="Open Sans" w:cs="Open Sans"/>
          <w:b/>
          <w:sz w:val="24"/>
          <w:szCs w:val="24"/>
        </w:rPr>
        <w:t xml:space="preserve">STANDARD ‘CALL FOR PROPOSALS’ (CFP) </w:t>
      </w:r>
    </w:p>
    <w:p w:rsidR="00AE00A2" w:rsidRDefault="00AE00A2">
      <w:pPr>
        <w:spacing w:line="276" w:lineRule="auto"/>
        <w:rPr>
          <w:rFonts w:ascii="Arial" w:eastAsia="Arial" w:hAnsi="Arial" w:cs="Arial"/>
          <w:sz w:val="18"/>
          <w:szCs w:val="18"/>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E00A2">
        <w:trPr>
          <w:trHeight w:val="1762"/>
        </w:trPr>
        <w:tc>
          <w:tcPr>
            <w:tcW w:w="9360" w:type="dxa"/>
            <w:tcBorders>
              <w:top w:val="single" w:sz="4" w:space="0" w:color="0092D1"/>
              <w:left w:val="single" w:sz="4" w:space="0" w:color="0092D1"/>
              <w:bottom w:val="single" w:sz="4" w:space="0" w:color="0092D1"/>
              <w:right w:val="single" w:sz="4" w:space="0" w:color="0092D1"/>
            </w:tcBorders>
            <w:tcMar>
              <w:top w:w="100" w:type="dxa"/>
              <w:left w:w="100" w:type="dxa"/>
              <w:bottom w:w="100" w:type="dxa"/>
              <w:right w:w="100" w:type="dxa"/>
            </w:tcMar>
          </w:tcPr>
          <w:p w:rsidR="00AE00A2" w:rsidRDefault="005A3A99">
            <w:pPr>
              <w:widowControl w:val="0"/>
              <w:spacing w:after="200"/>
              <w:rPr>
                <w:b/>
                <w:sz w:val="18"/>
                <w:szCs w:val="18"/>
              </w:rPr>
            </w:pPr>
            <w:r>
              <w:rPr>
                <w:b/>
                <w:sz w:val="18"/>
                <w:szCs w:val="18"/>
              </w:rPr>
              <w:t>Overriding Principle</w:t>
            </w:r>
          </w:p>
          <w:p w:rsidR="00AE00A2" w:rsidRDefault="005A3A99">
            <w:pPr>
              <w:widowControl w:val="0"/>
              <w:spacing w:after="200"/>
              <w:rPr>
                <w:sz w:val="18"/>
                <w:szCs w:val="18"/>
              </w:rPr>
            </w:pPr>
            <w:r>
              <w:rPr>
                <w:sz w:val="18"/>
                <w:szCs w:val="18"/>
              </w:rPr>
              <w:t>SGP is calling for proposals based on a new grant making modality to be administered at the global level. This is in addition to similar ‘Call for Proposals’ (CFP) which are undertaken by national level SGP country programmes. The principles under which th</w:t>
            </w:r>
            <w:r>
              <w:rPr>
                <w:sz w:val="18"/>
                <w:szCs w:val="18"/>
              </w:rPr>
              <w:t>is CFP will work is based on the interest of fairness, transparency and integrity. This modality is recommended as the most appropriate solicitation method for announcing available grant support under the competitive selection method. The selection will be</w:t>
            </w:r>
            <w:r>
              <w:rPr>
                <w:sz w:val="18"/>
                <w:szCs w:val="18"/>
              </w:rPr>
              <w:t xml:space="preserve"> undertaken by a committee whose decisions will be final. The eligible entities who may wish to pursue further information related to their bids may follow the UNOPS advisory related to this call for proposals. </w:t>
            </w:r>
          </w:p>
          <w:p w:rsidR="00AE00A2" w:rsidRDefault="005A3A99">
            <w:pPr>
              <w:widowControl w:val="0"/>
              <w:spacing w:after="200"/>
              <w:rPr>
                <w:sz w:val="18"/>
                <w:szCs w:val="18"/>
              </w:rPr>
            </w:pPr>
            <w:r>
              <w:rPr>
                <w:b/>
                <w:sz w:val="18"/>
                <w:szCs w:val="18"/>
              </w:rPr>
              <w:t>Background of GEF SGP</w:t>
            </w:r>
            <w:r>
              <w:rPr>
                <w:sz w:val="18"/>
                <w:szCs w:val="18"/>
              </w:rPr>
              <w:t xml:space="preserve"> </w:t>
            </w:r>
          </w:p>
          <w:p w:rsidR="00AE00A2" w:rsidRDefault="005A3A99">
            <w:pPr>
              <w:widowControl w:val="0"/>
              <w:spacing w:after="200"/>
              <w:rPr>
                <w:sz w:val="18"/>
                <w:szCs w:val="18"/>
              </w:rPr>
            </w:pPr>
            <w:r>
              <w:rPr>
                <w:sz w:val="18"/>
                <w:szCs w:val="18"/>
              </w:rPr>
              <w:t xml:space="preserve">The GEF Small Grants </w:t>
            </w:r>
            <w:r>
              <w:rPr>
                <w:sz w:val="18"/>
                <w:szCs w:val="18"/>
              </w:rPr>
              <w:t>Programme (SGP) is a corporate programme of the Global Environment Facility (GEF) implemented by the United Nations Development Programme (UNDP) since 1992. SGP grant-making in over 125 countries promotes community-based innovation, capacity development, a</w:t>
            </w:r>
            <w:r>
              <w:rPr>
                <w:sz w:val="18"/>
                <w:szCs w:val="18"/>
              </w:rPr>
              <w:t>nd empowerment through sustainable development projects of communities’ local civil society organizations with special consideration for indigenous peoples, women, and youth. SGP projects support biodiversity conservation, climate change mitigation and ada</w:t>
            </w:r>
            <w:r>
              <w:rPr>
                <w:sz w:val="18"/>
                <w:szCs w:val="18"/>
              </w:rPr>
              <w:t>ptation, prevention of land degradation, protection of international waters, and reduction of the impact of chemicals, within a sustainable development framework that promotes sustainable livelihoods and citizen empowerment.</w:t>
            </w:r>
          </w:p>
          <w:p w:rsidR="00AE00A2" w:rsidRDefault="005A3A99">
            <w:pPr>
              <w:widowControl w:val="0"/>
              <w:pBdr>
                <w:top w:val="nil"/>
                <w:left w:val="nil"/>
                <w:bottom w:val="nil"/>
                <w:right w:val="nil"/>
                <w:between w:val="nil"/>
              </w:pBdr>
              <w:spacing w:after="200"/>
              <w:rPr>
                <w:sz w:val="18"/>
                <w:szCs w:val="18"/>
              </w:rPr>
            </w:pPr>
            <w:r>
              <w:rPr>
                <w:sz w:val="18"/>
                <w:szCs w:val="18"/>
              </w:rPr>
              <w:t xml:space="preserve">Under the </w:t>
            </w:r>
            <w:r>
              <w:rPr>
                <w:b/>
                <w:sz w:val="18"/>
                <w:szCs w:val="18"/>
              </w:rPr>
              <w:t>7th Operational Phase</w:t>
            </w:r>
            <w:r>
              <w:rPr>
                <w:b/>
                <w:sz w:val="18"/>
                <w:szCs w:val="18"/>
              </w:rPr>
              <w:t xml:space="preserve"> of SGP, one of the key strategic initiaves is on Chemical and Waste Management as well as on promoting Sustainable Urban Solutions, including plastics management. SGP is working closely with the concerned GEF Secretariat team, UNDP Plastic Offer and other</w:t>
            </w:r>
            <w:r>
              <w:rPr>
                <w:b/>
                <w:sz w:val="18"/>
                <w:szCs w:val="18"/>
              </w:rPr>
              <w:t xml:space="preserve"> partners on the issue. </w:t>
            </w:r>
            <w:r>
              <w:rPr>
                <w:sz w:val="18"/>
                <w:szCs w:val="18"/>
              </w:rPr>
              <w:t>Plastics have become an integral part of our daily life: the packaging industry has the most intensive use of plastics, but also agriculture, textiles, transportation and consumer products have a supply chain that is filled with pla</w:t>
            </w:r>
            <w:r>
              <w:rPr>
                <w:sz w:val="18"/>
                <w:szCs w:val="18"/>
              </w:rPr>
              <w:t>stic. If we do not reimagine and reset our current consumption patterns and waste management practices, by 2050 there will be about 12 billion tons of plastic litter in landfills and the natural environment.</w:t>
            </w:r>
            <w:r>
              <w:rPr>
                <w:sz w:val="18"/>
                <w:szCs w:val="18"/>
                <w:vertAlign w:val="superscript"/>
              </w:rPr>
              <w:footnoteReference w:id="1"/>
            </w:r>
            <w:r>
              <w:rPr>
                <w:sz w:val="18"/>
                <w:szCs w:val="18"/>
              </w:rPr>
              <w:t xml:space="preserve"> It takes whole-of-society to address one of the</w:t>
            </w:r>
            <w:r>
              <w:rPr>
                <w:sz w:val="18"/>
                <w:szCs w:val="18"/>
              </w:rPr>
              <w:t xml:space="preserve"> most prominent environment and health crises of our time. </w:t>
            </w:r>
          </w:p>
          <w:p w:rsidR="00AE00A2" w:rsidRDefault="005A3A99">
            <w:pPr>
              <w:widowControl w:val="0"/>
              <w:pBdr>
                <w:top w:val="nil"/>
                <w:left w:val="nil"/>
                <w:bottom w:val="nil"/>
                <w:right w:val="nil"/>
                <w:between w:val="nil"/>
              </w:pBdr>
              <w:spacing w:after="200"/>
              <w:rPr>
                <w:rFonts w:ascii="Calibri" w:eastAsia="Calibri" w:hAnsi="Calibri" w:cs="Calibri"/>
                <w:b/>
                <w:sz w:val="22"/>
                <w:szCs w:val="22"/>
              </w:rPr>
            </w:pPr>
            <w:r>
              <w:rPr>
                <w:sz w:val="18"/>
                <w:szCs w:val="18"/>
              </w:rPr>
              <w:t>Unsustainable practices and behaviors in the production, use and disposal of plastics are fundamental drivers to plastic pollution crisis we are facing. Responding to those practices and behaviors</w:t>
            </w:r>
            <w:r>
              <w:rPr>
                <w:sz w:val="18"/>
                <w:szCs w:val="18"/>
              </w:rPr>
              <w:t xml:space="preserve"> can transform the system towards sustainability. Behaviors are difficult to change. Informed by academic and research on behavior change, there are six strategic levers to shift behaviors: 1) material incentives; 2) rules and regulations; 3) information; </w:t>
            </w:r>
            <w:r>
              <w:rPr>
                <w:sz w:val="18"/>
                <w:szCs w:val="18"/>
              </w:rPr>
              <w:t>4) context in which choices are made; 5) emotional appeals; 6) social influence.</w:t>
            </w:r>
            <w:r>
              <w:rPr>
                <w:sz w:val="18"/>
                <w:szCs w:val="18"/>
                <w:vertAlign w:val="superscript"/>
              </w:rPr>
              <w:footnoteReference w:id="2"/>
            </w:r>
            <w:r>
              <w:rPr>
                <w:sz w:val="18"/>
                <w:szCs w:val="18"/>
              </w:rPr>
              <w:t xml:space="preserve"> </w:t>
            </w:r>
          </w:p>
          <w:p w:rsidR="00AE00A2" w:rsidRDefault="005A3A99">
            <w:pPr>
              <w:widowControl w:val="0"/>
              <w:spacing w:before="120" w:after="120"/>
              <w:rPr>
                <w:sz w:val="18"/>
                <w:szCs w:val="18"/>
              </w:rPr>
            </w:pPr>
            <w:r>
              <w:rPr>
                <w:b/>
                <w:sz w:val="18"/>
                <w:szCs w:val="18"/>
              </w:rPr>
              <w:t>Objective</w:t>
            </w:r>
          </w:p>
          <w:p w:rsidR="00AE00A2" w:rsidRDefault="005A3A99">
            <w:pPr>
              <w:spacing w:before="60" w:after="60"/>
              <w:rPr>
                <w:b/>
                <w:sz w:val="18"/>
                <w:szCs w:val="18"/>
              </w:rPr>
            </w:pPr>
            <w:r>
              <w:rPr>
                <w:sz w:val="18"/>
                <w:szCs w:val="18"/>
              </w:rPr>
              <w:t>SGP is looking for a civil society,</w:t>
            </w:r>
            <w:r>
              <w:rPr>
                <w:b/>
                <w:sz w:val="18"/>
                <w:szCs w:val="18"/>
              </w:rPr>
              <w:t xml:space="preserve"> non-UN</w:t>
            </w:r>
            <w:r>
              <w:rPr>
                <w:sz w:val="18"/>
                <w:szCs w:val="18"/>
              </w:rPr>
              <w:t>, non-governmental and non-profit partner, including a university or research institute to collaborate in</w:t>
            </w:r>
            <w:r>
              <w:rPr>
                <w:b/>
                <w:sz w:val="18"/>
                <w:szCs w:val="18"/>
                <w:u w:val="single"/>
              </w:rPr>
              <w:t xml:space="preserve"> providing globa</w:t>
            </w:r>
            <w:r>
              <w:rPr>
                <w:b/>
                <w:sz w:val="18"/>
                <w:szCs w:val="18"/>
                <w:u w:val="single"/>
              </w:rPr>
              <w:t>l technical guidance and support</w:t>
            </w:r>
            <w:r>
              <w:rPr>
                <w:sz w:val="18"/>
                <w:szCs w:val="18"/>
              </w:rPr>
              <w:t xml:space="preserve"> in the development and implementation of behavior change activities in plastics and waste management. The selected partner organization should have a track record of behavior change research and application. There is a need</w:t>
            </w:r>
            <w:r>
              <w:rPr>
                <w:sz w:val="18"/>
                <w:szCs w:val="18"/>
              </w:rPr>
              <w:t xml:space="preserve"> to transfer global cutting-edge knowledge in this area into national and local actions, and support the experimentation, monitoring and further refining of tools, methodologies and processes of behavior change initiatives.</w:t>
            </w:r>
            <w:r>
              <w:rPr>
                <w:b/>
                <w:sz w:val="18"/>
                <w:szCs w:val="18"/>
              </w:rPr>
              <w:t xml:space="preserve"> The selected organization’s prop</w:t>
            </w:r>
            <w:r>
              <w:rPr>
                <w:b/>
                <w:sz w:val="18"/>
                <w:szCs w:val="18"/>
              </w:rPr>
              <w:t>osal is expected to have a global implementation, with particular emphasis in the Global South.</w:t>
            </w:r>
          </w:p>
          <w:p w:rsidR="00AE00A2" w:rsidRDefault="005A3A99">
            <w:pPr>
              <w:spacing w:before="60" w:after="60"/>
              <w:rPr>
                <w:sz w:val="18"/>
                <w:szCs w:val="18"/>
              </w:rPr>
            </w:pPr>
            <w:r>
              <w:rPr>
                <w:sz w:val="18"/>
                <w:szCs w:val="18"/>
              </w:rPr>
              <w:t xml:space="preserve">   </w:t>
            </w:r>
          </w:p>
          <w:p w:rsidR="00AE00A2" w:rsidRDefault="005A3A99">
            <w:pPr>
              <w:spacing w:before="60" w:after="60"/>
              <w:rPr>
                <w:b/>
                <w:sz w:val="18"/>
                <w:szCs w:val="18"/>
              </w:rPr>
            </w:pPr>
            <w:r>
              <w:rPr>
                <w:sz w:val="18"/>
                <w:szCs w:val="18"/>
              </w:rPr>
              <w:t xml:space="preserve">Grant funding available for the activity is up to a maximum of US$ 150,000, with an expected duration of 18-24 months. </w:t>
            </w:r>
            <w:r>
              <w:rPr>
                <w:b/>
                <w:sz w:val="18"/>
                <w:szCs w:val="18"/>
              </w:rPr>
              <w:t>The full grant amount will be awarded</w:t>
            </w:r>
            <w:r>
              <w:rPr>
                <w:b/>
                <w:sz w:val="18"/>
                <w:szCs w:val="18"/>
              </w:rPr>
              <w:t xml:space="preserve"> to one organization/proposal.</w:t>
            </w:r>
          </w:p>
          <w:p w:rsidR="00AE00A2" w:rsidRDefault="00AE00A2">
            <w:pPr>
              <w:spacing w:before="60" w:after="60"/>
              <w:rPr>
                <w:sz w:val="18"/>
                <w:szCs w:val="18"/>
              </w:rPr>
            </w:pPr>
          </w:p>
        </w:tc>
      </w:tr>
    </w:tbl>
    <w:p w:rsidR="00AE00A2" w:rsidRDefault="00AE00A2">
      <w:pPr>
        <w:spacing w:line="276" w:lineRule="auto"/>
        <w:rPr>
          <w:rFonts w:ascii="Arial" w:eastAsia="Arial" w:hAnsi="Arial" w:cs="Arial"/>
          <w:sz w:val="18"/>
          <w:szCs w:val="18"/>
        </w:rPr>
      </w:pPr>
    </w:p>
    <w:p w:rsidR="00AE00A2" w:rsidRDefault="00AE00A2">
      <w:pPr>
        <w:spacing w:line="276" w:lineRule="auto"/>
        <w:rPr>
          <w:rFonts w:ascii="Arial" w:eastAsia="Arial" w:hAnsi="Arial" w:cs="Arial"/>
          <w:sz w:val="18"/>
          <w:szCs w:val="18"/>
        </w:rPr>
      </w:pPr>
    </w:p>
    <w:p w:rsidR="00AE00A2" w:rsidRDefault="00AE00A2">
      <w:pPr>
        <w:spacing w:line="276" w:lineRule="auto"/>
        <w:rPr>
          <w:rFonts w:ascii="Arial" w:eastAsia="Arial" w:hAnsi="Arial" w:cs="Arial"/>
          <w:sz w:val="18"/>
          <w:szCs w:val="18"/>
        </w:rPr>
      </w:pPr>
    </w:p>
    <w:p w:rsidR="00AE00A2" w:rsidRDefault="005A3A99">
      <w:pPr>
        <w:rPr>
          <w:rFonts w:ascii="Arial" w:eastAsia="Arial" w:hAnsi="Arial" w:cs="Arial"/>
          <w:sz w:val="18"/>
          <w:szCs w:val="18"/>
        </w:rPr>
      </w:pPr>
      <w:r>
        <w:rPr>
          <w:rFonts w:ascii="Arial" w:eastAsia="Arial" w:hAnsi="Arial" w:cs="Arial"/>
          <w:b/>
          <w:sz w:val="18"/>
          <w:szCs w:val="18"/>
        </w:rPr>
        <w:t xml:space="preserve">Primary project/program title: </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E00A2">
        <w:trPr>
          <w:trHeight w:val="480"/>
        </w:trPr>
        <w:tc>
          <w:tcPr>
            <w:tcW w:w="9360" w:type="dxa"/>
            <w:tcBorders>
              <w:top w:val="dashed" w:sz="8" w:space="0" w:color="0092D1"/>
              <w:left w:val="dashed" w:sz="8" w:space="0" w:color="0092D1"/>
              <w:bottom w:val="dashed" w:sz="8" w:space="0" w:color="0092D1"/>
              <w:right w:val="dashed" w:sz="8" w:space="0" w:color="0092D1"/>
            </w:tcBorders>
            <w:shd w:val="clear" w:color="auto" w:fill="F3F3F3"/>
            <w:tcMar>
              <w:top w:w="100" w:type="dxa"/>
              <w:left w:w="100" w:type="dxa"/>
              <w:bottom w:w="100" w:type="dxa"/>
              <w:right w:w="100" w:type="dxa"/>
            </w:tcMar>
          </w:tcPr>
          <w:p w:rsidR="00AE00A2" w:rsidRDefault="005A3A99">
            <w:pPr>
              <w:rPr>
                <w:sz w:val="18"/>
                <w:szCs w:val="18"/>
              </w:rPr>
            </w:pPr>
            <w:r>
              <w:rPr>
                <w:sz w:val="18"/>
                <w:szCs w:val="18"/>
              </w:rPr>
              <w:t>Plastic Waste Management &amp; Behavior Change</w:t>
            </w:r>
          </w:p>
        </w:tc>
      </w:tr>
    </w:tbl>
    <w:p w:rsidR="00AE00A2" w:rsidRDefault="00AE00A2">
      <w:pPr>
        <w:rPr>
          <w:rFonts w:ascii="Arial" w:eastAsia="Arial" w:hAnsi="Arial" w:cs="Arial"/>
          <w:b/>
          <w:sz w:val="18"/>
          <w:szCs w:val="18"/>
        </w:rPr>
      </w:pPr>
    </w:p>
    <w:p w:rsidR="00AE00A2" w:rsidRDefault="005A3A99">
      <w:pPr>
        <w:rPr>
          <w:rFonts w:ascii="Arial" w:eastAsia="Arial" w:hAnsi="Arial" w:cs="Arial"/>
          <w:sz w:val="18"/>
          <w:szCs w:val="18"/>
        </w:rPr>
      </w:pPr>
      <w:r>
        <w:rPr>
          <w:rFonts w:ascii="Arial" w:eastAsia="Arial" w:hAnsi="Arial" w:cs="Arial"/>
          <w:b/>
          <w:sz w:val="18"/>
          <w:szCs w:val="18"/>
        </w:rPr>
        <w:t xml:space="preserve">and/or UNOPS reference number (if applicable): </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AE00A2">
        <w:trPr>
          <w:trHeight w:val="480"/>
        </w:trPr>
        <w:tc>
          <w:tcPr>
            <w:tcW w:w="9360" w:type="dxa"/>
            <w:tcBorders>
              <w:top w:val="dashed" w:sz="8" w:space="0" w:color="0092D1"/>
              <w:left w:val="dashed" w:sz="8" w:space="0" w:color="0092D1"/>
              <w:bottom w:val="dashed" w:sz="8" w:space="0" w:color="0092D1"/>
              <w:right w:val="dashed" w:sz="8" w:space="0" w:color="0092D1"/>
            </w:tcBorders>
            <w:shd w:val="clear" w:color="auto" w:fill="F3F3F3"/>
            <w:tcMar>
              <w:top w:w="100" w:type="dxa"/>
              <w:left w:w="100" w:type="dxa"/>
              <w:bottom w:w="100" w:type="dxa"/>
              <w:right w:w="100" w:type="dxa"/>
            </w:tcMar>
          </w:tcPr>
          <w:p w:rsidR="00AE00A2" w:rsidRDefault="00AE00A2">
            <w:pPr>
              <w:rPr>
                <w:sz w:val="18"/>
                <w:szCs w:val="18"/>
              </w:rPr>
            </w:pPr>
          </w:p>
        </w:tc>
      </w:tr>
    </w:tbl>
    <w:p w:rsidR="00AE00A2" w:rsidRDefault="00AE00A2">
      <w:pPr>
        <w:rPr>
          <w:rFonts w:ascii="Arial" w:eastAsia="Arial" w:hAnsi="Arial" w:cs="Arial"/>
          <w:b/>
          <w:sz w:val="18"/>
          <w:szCs w:val="18"/>
        </w:rPr>
      </w:pPr>
    </w:p>
    <w:tbl>
      <w:tblPr>
        <w:tblStyle w:val="a2"/>
        <w:tblW w:w="9330"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75"/>
        <w:gridCol w:w="1470"/>
        <w:gridCol w:w="1785"/>
      </w:tblGrid>
      <w:tr w:rsidR="00AE00A2" w:rsidTr="00AE00A2">
        <w:trPr>
          <w:cnfStyle w:val="100000000000" w:firstRow="1" w:lastRow="0" w:firstColumn="0" w:lastColumn="0" w:oddVBand="0" w:evenVBand="0" w:oddHBand="0" w:evenHBand="0" w:firstRowFirstColumn="0" w:firstRowLastColumn="0" w:lastRowFirstColumn="0" w:lastRowLastColumn="0"/>
          <w:trHeight w:val="380"/>
        </w:trPr>
        <w:tc>
          <w:tcPr>
            <w:tcW w:w="6075" w:type="dxa"/>
          </w:tcPr>
          <w:p w:rsidR="00AE00A2" w:rsidRDefault="005A3A99">
            <w:pPr>
              <w:numPr>
                <w:ilvl w:val="0"/>
                <w:numId w:val="1"/>
              </w:numPr>
              <w:ind w:left="360"/>
              <w:rPr>
                <w:sz w:val="18"/>
                <w:szCs w:val="18"/>
              </w:rPr>
            </w:pPr>
            <w:r>
              <w:rPr>
                <w:rFonts w:ascii="Arial" w:eastAsia="Arial" w:hAnsi="Arial" w:cs="Arial"/>
                <w:sz w:val="18"/>
                <w:szCs w:val="18"/>
              </w:rPr>
              <w:t>General instructions for proposal submission</w:t>
            </w:r>
          </w:p>
        </w:tc>
        <w:tc>
          <w:tcPr>
            <w:tcW w:w="1470" w:type="dxa"/>
          </w:tcPr>
          <w:p w:rsidR="00AE00A2" w:rsidRDefault="00AE00A2">
            <w:pPr>
              <w:rPr>
                <w:i/>
                <w:color w:val="646B6E"/>
                <w:sz w:val="18"/>
                <w:szCs w:val="18"/>
              </w:rPr>
            </w:pPr>
          </w:p>
        </w:tc>
        <w:tc>
          <w:tcPr>
            <w:tcW w:w="1785" w:type="dxa"/>
          </w:tcPr>
          <w:p w:rsidR="00AE00A2" w:rsidRDefault="00AE00A2">
            <w:pPr>
              <w:rPr>
                <w:sz w:val="18"/>
                <w:szCs w:val="18"/>
              </w:rPr>
            </w:pPr>
          </w:p>
        </w:tc>
      </w:tr>
      <w:tr w:rsidR="00AE00A2" w:rsidTr="00AE00A2">
        <w:trPr>
          <w:cnfStyle w:val="000000100000" w:firstRow="0" w:lastRow="0" w:firstColumn="0" w:lastColumn="0" w:oddVBand="0" w:evenVBand="0" w:oddHBand="1" w:evenHBand="0" w:firstRowFirstColumn="0" w:firstRowLastColumn="0" w:lastRowFirstColumn="0" w:lastRowLastColumn="0"/>
          <w:trHeight w:val="380"/>
        </w:trPr>
        <w:tc>
          <w:tcPr>
            <w:tcW w:w="9330" w:type="dxa"/>
            <w:gridSpan w:val="3"/>
            <w:tcBorders>
              <w:bottom w:val="single" w:sz="8" w:space="0" w:color="0092D1"/>
            </w:tcBorders>
            <w:shd w:val="clear" w:color="auto" w:fill="auto"/>
          </w:tcPr>
          <w:p w:rsidR="00AE00A2" w:rsidRDefault="005A3A99">
            <w:pPr>
              <w:rPr>
                <w:b/>
                <w:sz w:val="18"/>
                <w:szCs w:val="18"/>
              </w:rPr>
            </w:pPr>
            <w:r>
              <w:rPr>
                <w:b/>
                <w:sz w:val="18"/>
                <w:szCs w:val="18"/>
              </w:rPr>
              <w:t>How to submit?</w:t>
            </w:r>
          </w:p>
          <w:p w:rsidR="00AE00A2" w:rsidRDefault="005A3A99">
            <w:pPr>
              <w:ind w:left="720"/>
              <w:rPr>
                <w:sz w:val="18"/>
                <w:szCs w:val="18"/>
              </w:rPr>
            </w:pPr>
            <w:r>
              <w:rPr>
                <w:sz w:val="18"/>
                <w:szCs w:val="18"/>
              </w:rPr>
              <w:t>Fill out this simple CFP form using the Grant Application template (</w:t>
            </w:r>
            <w:r w:rsidR="00F13927">
              <w:rPr>
                <w:sz w:val="18"/>
                <w:szCs w:val="18"/>
                <w:u w:val="single"/>
              </w:rPr>
              <w:t>attached to UNGM post</w:t>
            </w:r>
            <w:r>
              <w:rPr>
                <w:sz w:val="18"/>
                <w:szCs w:val="18"/>
              </w:rPr>
              <w:t>) to assist the submission of a more detailed application.</w:t>
            </w:r>
            <w:r w:rsidR="00F13927">
              <w:rPr>
                <w:sz w:val="18"/>
                <w:szCs w:val="18"/>
              </w:rPr>
              <w:t xml:space="preserve"> </w:t>
            </w:r>
            <w:r w:rsidR="00F13927" w:rsidRPr="00F13927">
              <w:rPr>
                <w:sz w:val="18"/>
                <w:szCs w:val="18"/>
              </w:rPr>
              <w:t>While an application in English will be most appre</w:t>
            </w:r>
            <w:bookmarkStart w:id="1" w:name="_GoBack"/>
            <w:bookmarkEnd w:id="1"/>
            <w:r w:rsidR="00F13927" w:rsidRPr="00F13927">
              <w:rPr>
                <w:sz w:val="18"/>
                <w:szCs w:val="18"/>
              </w:rPr>
              <w:t xml:space="preserve">ciated, there are templates available in Spanish or French in case it is necessary for a </w:t>
            </w:r>
            <w:r w:rsidR="00F13927">
              <w:rPr>
                <w:sz w:val="18"/>
                <w:szCs w:val="18"/>
              </w:rPr>
              <w:t xml:space="preserve">particular </w:t>
            </w:r>
            <w:r w:rsidR="00F13927" w:rsidRPr="00F13927">
              <w:rPr>
                <w:sz w:val="18"/>
                <w:szCs w:val="18"/>
              </w:rPr>
              <w:t>proposal.</w:t>
            </w:r>
          </w:p>
          <w:p w:rsidR="00AE00A2" w:rsidRDefault="00AE00A2">
            <w:pPr>
              <w:ind w:left="720"/>
              <w:rPr>
                <w:sz w:val="18"/>
                <w:szCs w:val="18"/>
              </w:rPr>
            </w:pPr>
          </w:p>
        </w:tc>
      </w:tr>
      <w:tr w:rsidR="00AE00A2" w:rsidTr="00AE00A2">
        <w:trPr>
          <w:cnfStyle w:val="000000010000" w:firstRow="0" w:lastRow="0" w:firstColumn="0" w:lastColumn="0" w:oddVBand="0" w:evenVBand="0" w:oddHBand="0" w:evenHBand="1" w:firstRowFirstColumn="0" w:firstRowLastColumn="0" w:lastRowFirstColumn="0" w:lastRowLastColumn="0"/>
          <w:trHeight w:val="380"/>
        </w:trPr>
        <w:tc>
          <w:tcPr>
            <w:tcW w:w="9330" w:type="dxa"/>
            <w:gridSpan w:val="3"/>
            <w:tcBorders>
              <w:top w:val="single" w:sz="8" w:space="0" w:color="0092D1"/>
              <w:bottom w:val="single" w:sz="8" w:space="0" w:color="0092D1"/>
            </w:tcBorders>
            <w:shd w:val="clear" w:color="auto" w:fill="auto"/>
          </w:tcPr>
          <w:p w:rsidR="00AE00A2" w:rsidRDefault="005A3A99">
            <w:pPr>
              <w:rPr>
                <w:b/>
                <w:sz w:val="18"/>
                <w:szCs w:val="18"/>
              </w:rPr>
            </w:pPr>
            <w:r>
              <w:rPr>
                <w:b/>
                <w:sz w:val="18"/>
                <w:szCs w:val="18"/>
              </w:rPr>
              <w:t xml:space="preserve">When to submit? </w:t>
            </w:r>
          </w:p>
          <w:p w:rsidR="00AE00A2" w:rsidRDefault="005A3A99">
            <w:pPr>
              <w:ind w:left="720"/>
            </w:pPr>
            <w:r>
              <w:rPr>
                <w:sz w:val="18"/>
                <w:szCs w:val="18"/>
              </w:rPr>
              <w:t xml:space="preserve">Deadline:  15 September 2022, </w:t>
            </w:r>
            <w:r>
              <w:t xml:space="preserve">1700hrs Eastern Time (New </w:t>
            </w:r>
            <w:r>
              <w:t>York)</w:t>
            </w:r>
          </w:p>
          <w:p w:rsidR="00AE00A2" w:rsidRDefault="00AE00A2">
            <w:pPr>
              <w:ind w:left="720"/>
            </w:pPr>
          </w:p>
        </w:tc>
      </w:tr>
      <w:tr w:rsidR="00AE00A2" w:rsidTr="00AE00A2">
        <w:trPr>
          <w:cnfStyle w:val="000000100000" w:firstRow="0" w:lastRow="0" w:firstColumn="0" w:lastColumn="0" w:oddVBand="0" w:evenVBand="0" w:oddHBand="1" w:evenHBand="0" w:firstRowFirstColumn="0" w:firstRowLastColumn="0" w:lastRowFirstColumn="0" w:lastRowLastColumn="0"/>
          <w:trHeight w:val="380"/>
        </w:trPr>
        <w:tc>
          <w:tcPr>
            <w:tcW w:w="9330" w:type="dxa"/>
            <w:gridSpan w:val="3"/>
            <w:tcBorders>
              <w:top w:val="single" w:sz="8" w:space="0" w:color="0092D1"/>
              <w:bottom w:val="single" w:sz="8" w:space="0" w:color="0092D1"/>
            </w:tcBorders>
            <w:shd w:val="clear" w:color="auto" w:fill="auto"/>
          </w:tcPr>
          <w:p w:rsidR="00AE00A2" w:rsidRDefault="005A3A99">
            <w:pPr>
              <w:rPr>
                <w:b/>
                <w:sz w:val="18"/>
                <w:szCs w:val="18"/>
              </w:rPr>
            </w:pPr>
            <w:r>
              <w:rPr>
                <w:b/>
                <w:sz w:val="18"/>
                <w:szCs w:val="18"/>
              </w:rPr>
              <w:t xml:space="preserve">Where to submit? </w:t>
            </w:r>
          </w:p>
          <w:p w:rsidR="00AE00A2" w:rsidRDefault="005A3A99">
            <w:pPr>
              <w:ind w:left="720"/>
              <w:rPr>
                <w:b/>
              </w:rPr>
            </w:pPr>
            <w:r>
              <w:rPr>
                <w:sz w:val="18"/>
                <w:szCs w:val="18"/>
              </w:rPr>
              <w:t xml:space="preserve">Email: </w:t>
            </w:r>
            <w:hyperlink r:id="rId7">
              <w:r>
                <w:rPr>
                  <w:b/>
                  <w:color w:val="1155CC"/>
                  <w:u w:val="single"/>
                </w:rPr>
                <w:t>KristofferK@unops.org</w:t>
              </w:r>
            </w:hyperlink>
            <w:r>
              <w:rPr>
                <w:b/>
                <w:color w:val="0000FF"/>
              </w:rPr>
              <w:t xml:space="preserve"> </w:t>
            </w:r>
            <w:r>
              <w:t xml:space="preserve"> subject line: </w:t>
            </w:r>
            <w:r>
              <w:rPr>
                <w:b/>
              </w:rPr>
              <w:t>CFP/Plastic Waste Management &amp; Behavior Change/001</w:t>
            </w:r>
          </w:p>
          <w:p w:rsidR="00AE00A2" w:rsidRDefault="00AE00A2">
            <w:pPr>
              <w:ind w:left="720"/>
              <w:rPr>
                <w:b/>
                <w:highlight w:val="yellow"/>
              </w:rPr>
            </w:pPr>
          </w:p>
        </w:tc>
      </w:tr>
      <w:tr w:rsidR="00AE00A2" w:rsidTr="00AE00A2">
        <w:trPr>
          <w:cnfStyle w:val="000000010000" w:firstRow="0" w:lastRow="0" w:firstColumn="0" w:lastColumn="0" w:oddVBand="0" w:evenVBand="0" w:oddHBand="0" w:evenHBand="1" w:firstRowFirstColumn="0" w:firstRowLastColumn="0" w:lastRowFirstColumn="0" w:lastRowLastColumn="0"/>
          <w:trHeight w:val="380"/>
        </w:trPr>
        <w:tc>
          <w:tcPr>
            <w:tcW w:w="9330" w:type="dxa"/>
            <w:gridSpan w:val="3"/>
            <w:tcBorders>
              <w:top w:val="single" w:sz="8" w:space="0" w:color="0092D1"/>
              <w:bottom w:val="single" w:sz="8" w:space="0" w:color="0092D1"/>
            </w:tcBorders>
            <w:shd w:val="clear" w:color="auto" w:fill="auto"/>
          </w:tcPr>
          <w:p w:rsidR="00AE00A2" w:rsidRDefault="005A3A99">
            <w:r>
              <w:rPr>
                <w:b/>
                <w:u w:val="single"/>
              </w:rPr>
              <w:t>For questions and clarification:</w:t>
            </w:r>
            <w:r>
              <w:t xml:space="preserve"> </w:t>
            </w:r>
          </w:p>
          <w:p w:rsidR="00AE00A2" w:rsidRDefault="00AE00A2"/>
          <w:p w:rsidR="00AE00A2" w:rsidRDefault="005A3A99">
            <w:r>
              <w:t xml:space="preserve">Please contact </w:t>
            </w:r>
            <w:r>
              <w:rPr>
                <w:b/>
              </w:rPr>
              <w:t>Ms. Sulan Chen at</w:t>
            </w:r>
            <w:r>
              <w:rPr>
                <w:b/>
                <w:color w:val="0000FF"/>
                <w:u w:val="single"/>
              </w:rPr>
              <w:t xml:space="preserve"> sulan.chen@undp.org</w:t>
            </w:r>
            <w:r>
              <w:t xml:space="preserve"> at UNDP</w:t>
            </w:r>
            <w:r>
              <w:rPr>
                <w:b/>
              </w:rPr>
              <w:t xml:space="preserve"> </w:t>
            </w:r>
            <w:r>
              <w:t xml:space="preserve">for technical questions, or </w:t>
            </w:r>
            <w:r>
              <w:rPr>
                <w:b/>
              </w:rPr>
              <w:t xml:space="preserve">Mr. Kristoffer Kappy at </w:t>
            </w:r>
            <w:hyperlink r:id="rId8">
              <w:r>
                <w:rPr>
                  <w:b/>
                  <w:color w:val="0000FF"/>
                  <w:u w:val="single"/>
                </w:rPr>
                <w:t>KristofferK@unops.org</w:t>
              </w:r>
            </w:hyperlink>
            <w:r>
              <w:rPr>
                <w:b/>
              </w:rPr>
              <w:t xml:space="preserve"> </w:t>
            </w:r>
            <w:r>
              <w:t xml:space="preserve">at UNOPS for questions on the modality of submission. Requests for clarifications or questions submitted </w:t>
            </w:r>
            <w:r>
              <w:t>after the deadline of submission will not be considered.</w:t>
            </w:r>
          </w:p>
          <w:p w:rsidR="00AE00A2" w:rsidRDefault="00AE00A2"/>
        </w:tc>
      </w:tr>
    </w:tbl>
    <w:p w:rsidR="00AE00A2" w:rsidRDefault="00AE00A2">
      <w:pPr>
        <w:rPr>
          <w:rFonts w:ascii="Arial" w:eastAsia="Arial" w:hAnsi="Arial" w:cs="Arial"/>
          <w:b/>
          <w:sz w:val="18"/>
          <w:szCs w:val="18"/>
        </w:rPr>
      </w:pPr>
    </w:p>
    <w:tbl>
      <w:tblPr>
        <w:tblStyle w:val="a3"/>
        <w:tblW w:w="936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800"/>
      </w:tblGrid>
      <w:tr w:rsidR="00AE00A2" w:rsidTr="00AE00A2">
        <w:trPr>
          <w:cnfStyle w:val="100000000000" w:firstRow="1" w:lastRow="0" w:firstColumn="0" w:lastColumn="0" w:oddVBand="0" w:evenVBand="0" w:oddHBand="0" w:evenHBand="0" w:firstRowFirstColumn="0" w:firstRowLastColumn="0" w:lastRowFirstColumn="0" w:lastRowLastColumn="0"/>
          <w:trHeight w:val="380"/>
        </w:trPr>
        <w:tc>
          <w:tcPr>
            <w:tcW w:w="6090" w:type="dxa"/>
          </w:tcPr>
          <w:p w:rsidR="00AE00A2" w:rsidRDefault="005A3A99">
            <w:pPr>
              <w:numPr>
                <w:ilvl w:val="0"/>
                <w:numId w:val="1"/>
              </w:numPr>
              <w:ind w:left="360"/>
              <w:rPr>
                <w:sz w:val="18"/>
                <w:szCs w:val="18"/>
              </w:rPr>
            </w:pPr>
            <w:r>
              <w:rPr>
                <w:rFonts w:ascii="Arial" w:eastAsia="Arial" w:hAnsi="Arial" w:cs="Arial"/>
                <w:sz w:val="18"/>
                <w:szCs w:val="18"/>
              </w:rPr>
              <w:t>Eligibility criteria as per project agreement</w:t>
            </w:r>
          </w:p>
        </w:tc>
        <w:tc>
          <w:tcPr>
            <w:tcW w:w="1470" w:type="dxa"/>
          </w:tcPr>
          <w:p w:rsidR="00AE00A2" w:rsidRDefault="00AE00A2">
            <w:pPr>
              <w:rPr>
                <w:i/>
                <w:color w:val="646B6E"/>
                <w:sz w:val="18"/>
                <w:szCs w:val="18"/>
              </w:rPr>
            </w:pPr>
          </w:p>
        </w:tc>
        <w:tc>
          <w:tcPr>
            <w:tcW w:w="1800" w:type="dxa"/>
          </w:tcPr>
          <w:p w:rsidR="00AE00A2" w:rsidRDefault="00AE00A2">
            <w:pPr>
              <w:rPr>
                <w:sz w:val="18"/>
                <w:szCs w:val="18"/>
              </w:rPr>
            </w:pPr>
          </w:p>
        </w:tc>
      </w:tr>
      <w:tr w:rsidR="00AE00A2" w:rsidTr="00AE00A2">
        <w:trPr>
          <w:cnfStyle w:val="000000100000" w:firstRow="0" w:lastRow="0" w:firstColumn="0" w:lastColumn="0" w:oddVBand="0" w:evenVBand="0" w:oddHBand="1" w:evenHBand="0" w:firstRowFirstColumn="0" w:firstRowLastColumn="0" w:lastRowFirstColumn="0" w:lastRowLastColumn="0"/>
          <w:trHeight w:val="380"/>
        </w:trPr>
        <w:tc>
          <w:tcPr>
            <w:tcW w:w="9360" w:type="dxa"/>
            <w:gridSpan w:val="3"/>
            <w:tcBorders>
              <w:bottom w:val="single" w:sz="8" w:space="0" w:color="0092D1"/>
            </w:tcBorders>
            <w:shd w:val="clear" w:color="auto" w:fill="auto"/>
          </w:tcPr>
          <w:p w:rsidR="00AE00A2" w:rsidRDefault="005A3A99">
            <w:pPr>
              <w:rPr>
                <w:b/>
                <w:sz w:val="18"/>
                <w:szCs w:val="18"/>
              </w:rPr>
            </w:pPr>
            <w:r>
              <w:rPr>
                <w:b/>
                <w:sz w:val="18"/>
                <w:szCs w:val="18"/>
              </w:rPr>
              <w:t xml:space="preserve">Eligibility Criteria: </w:t>
            </w:r>
          </w:p>
          <w:p w:rsidR="00AE00A2" w:rsidRDefault="005A3A99">
            <w:pPr>
              <w:spacing w:after="110" w:line="251" w:lineRule="auto"/>
              <w:ind w:left="720" w:right="276"/>
              <w:rPr>
                <w:sz w:val="18"/>
                <w:szCs w:val="18"/>
              </w:rPr>
            </w:pPr>
            <w:bookmarkStart w:id="2" w:name="_3znysh7" w:colFirst="0" w:colLast="0"/>
            <w:bookmarkEnd w:id="2"/>
            <w:r>
              <w:rPr>
                <w:sz w:val="18"/>
                <w:szCs w:val="18"/>
              </w:rPr>
              <w:t xml:space="preserve">. </w:t>
            </w:r>
          </w:p>
          <w:p w:rsidR="00AE00A2" w:rsidRDefault="005A3A99">
            <w:pPr>
              <w:numPr>
                <w:ilvl w:val="0"/>
                <w:numId w:val="2"/>
              </w:numPr>
              <w:spacing w:after="110" w:line="251" w:lineRule="auto"/>
              <w:ind w:right="276"/>
              <w:rPr>
                <w:sz w:val="18"/>
                <w:szCs w:val="18"/>
              </w:rPr>
            </w:pPr>
            <w:r>
              <w:rPr>
                <w:sz w:val="18"/>
                <w:szCs w:val="18"/>
              </w:rPr>
              <w:t xml:space="preserve">A nonprofit entity (universities, research institutes or non-governmental organizations) with demonstrated expertise and experiences in behavior change research, experiment and practices. </w:t>
            </w:r>
            <w:r>
              <w:rPr>
                <w:b/>
                <w:i/>
                <w:sz w:val="18"/>
                <w:szCs w:val="18"/>
              </w:rPr>
              <w:t>United Nations organizations and any government/municipal organizati</w:t>
            </w:r>
            <w:r>
              <w:rPr>
                <w:b/>
                <w:i/>
                <w:sz w:val="18"/>
                <w:szCs w:val="18"/>
              </w:rPr>
              <w:t xml:space="preserve">ons are </w:t>
            </w:r>
            <w:r>
              <w:rPr>
                <w:b/>
                <w:i/>
                <w:sz w:val="18"/>
                <w:szCs w:val="18"/>
                <w:u w:val="single"/>
              </w:rPr>
              <w:t>NOT</w:t>
            </w:r>
            <w:r>
              <w:rPr>
                <w:b/>
                <w:i/>
                <w:sz w:val="18"/>
                <w:szCs w:val="18"/>
              </w:rPr>
              <w:t xml:space="preserve"> eligible. </w:t>
            </w:r>
          </w:p>
          <w:p w:rsidR="00AE00A2" w:rsidRDefault="005A3A99">
            <w:pPr>
              <w:numPr>
                <w:ilvl w:val="0"/>
                <w:numId w:val="2"/>
              </w:numPr>
              <w:spacing w:after="110" w:line="251" w:lineRule="auto"/>
              <w:ind w:right="276"/>
              <w:rPr>
                <w:sz w:val="18"/>
                <w:szCs w:val="18"/>
              </w:rPr>
            </w:pPr>
            <w:r>
              <w:rPr>
                <w:sz w:val="18"/>
                <w:szCs w:val="18"/>
              </w:rPr>
              <w:t>Ability to develop tools, training and communications materials to enhance the capacity of partner universities/entities to undertake a coherent behavior change experiment/project.</w:t>
            </w:r>
          </w:p>
          <w:p w:rsidR="00AE00A2" w:rsidRDefault="005A3A99">
            <w:pPr>
              <w:numPr>
                <w:ilvl w:val="0"/>
                <w:numId w:val="2"/>
              </w:numPr>
              <w:spacing w:after="110" w:line="251" w:lineRule="auto"/>
              <w:ind w:right="276"/>
              <w:rPr>
                <w:sz w:val="18"/>
                <w:szCs w:val="18"/>
              </w:rPr>
            </w:pPr>
            <w:r>
              <w:rPr>
                <w:sz w:val="18"/>
                <w:szCs w:val="18"/>
              </w:rPr>
              <w:t>Experience in organizing training, workshops and mee</w:t>
            </w:r>
            <w:r>
              <w:rPr>
                <w:sz w:val="18"/>
                <w:szCs w:val="18"/>
              </w:rPr>
              <w:t>tings to transfer knowledge and facilitate learning and sharing.</w:t>
            </w:r>
          </w:p>
          <w:p w:rsidR="00AE00A2" w:rsidRDefault="005A3A99">
            <w:pPr>
              <w:numPr>
                <w:ilvl w:val="0"/>
                <w:numId w:val="2"/>
              </w:numPr>
              <w:spacing w:after="110" w:line="251" w:lineRule="auto"/>
              <w:ind w:right="276"/>
              <w:rPr>
                <w:sz w:val="18"/>
                <w:szCs w:val="18"/>
              </w:rPr>
            </w:pPr>
            <w:r>
              <w:rPr>
                <w:sz w:val="18"/>
                <w:szCs w:val="18"/>
              </w:rPr>
              <w:t>Knowledge of plastic and waste management issues, and how human behaviors have affected environmental protection.</w:t>
            </w:r>
          </w:p>
          <w:p w:rsidR="00AE00A2" w:rsidRDefault="005A3A99">
            <w:pPr>
              <w:numPr>
                <w:ilvl w:val="0"/>
                <w:numId w:val="2"/>
              </w:numPr>
              <w:spacing w:after="110" w:line="251" w:lineRule="auto"/>
              <w:ind w:right="276"/>
              <w:rPr>
                <w:sz w:val="18"/>
                <w:szCs w:val="18"/>
              </w:rPr>
            </w:pPr>
            <w:r>
              <w:rPr>
                <w:b/>
                <w:sz w:val="18"/>
                <w:szCs w:val="18"/>
                <w:u w:val="single"/>
              </w:rPr>
              <w:t>Ability to work with a global diverse team</w:t>
            </w:r>
            <w:r>
              <w:rPr>
                <w:sz w:val="18"/>
                <w:szCs w:val="18"/>
              </w:rPr>
              <w:t>, and understanding of developing c</w:t>
            </w:r>
            <w:r>
              <w:rPr>
                <w:sz w:val="18"/>
                <w:szCs w:val="18"/>
              </w:rPr>
              <w:t>ountries’ setting.</w:t>
            </w:r>
          </w:p>
          <w:p w:rsidR="00AE00A2" w:rsidRDefault="005A3A99">
            <w:pPr>
              <w:numPr>
                <w:ilvl w:val="0"/>
                <w:numId w:val="2"/>
              </w:numPr>
              <w:spacing w:after="110" w:line="251" w:lineRule="auto"/>
              <w:ind w:right="276"/>
              <w:rPr>
                <w:sz w:val="18"/>
                <w:szCs w:val="18"/>
              </w:rPr>
            </w:pPr>
            <w:r>
              <w:rPr>
                <w:sz w:val="18"/>
                <w:szCs w:val="18"/>
              </w:rPr>
              <w:t xml:space="preserve">Experiences in development and implementation of development projects. </w:t>
            </w:r>
          </w:p>
          <w:p w:rsidR="00AE00A2" w:rsidRDefault="005A3A99">
            <w:pPr>
              <w:numPr>
                <w:ilvl w:val="0"/>
                <w:numId w:val="2"/>
              </w:numPr>
              <w:spacing w:after="110" w:line="251" w:lineRule="auto"/>
              <w:ind w:right="276"/>
              <w:rPr>
                <w:sz w:val="18"/>
                <w:szCs w:val="18"/>
              </w:rPr>
            </w:pPr>
            <w:r>
              <w:rPr>
                <w:sz w:val="18"/>
                <w:szCs w:val="18"/>
              </w:rPr>
              <w:t>Experiences in plastics/waste management, ocean and chemicals and waste issue areas highly desirable.</w:t>
            </w:r>
          </w:p>
          <w:p w:rsidR="00AE00A2" w:rsidRDefault="005A3A99">
            <w:pPr>
              <w:numPr>
                <w:ilvl w:val="0"/>
                <w:numId w:val="5"/>
              </w:numPr>
              <w:pBdr>
                <w:top w:val="nil"/>
                <w:left w:val="nil"/>
                <w:bottom w:val="nil"/>
                <w:right w:val="nil"/>
                <w:between w:val="nil"/>
              </w:pBdr>
              <w:spacing w:after="80" w:line="249" w:lineRule="auto"/>
              <w:ind w:right="276"/>
              <w:rPr>
                <w:sz w:val="18"/>
                <w:szCs w:val="18"/>
              </w:rPr>
            </w:pPr>
            <w:r>
              <w:rPr>
                <w:sz w:val="18"/>
                <w:szCs w:val="18"/>
              </w:rPr>
              <w:t xml:space="preserve">Adequate Administrative staff and proven track record in administering similar grants. </w:t>
            </w:r>
          </w:p>
          <w:p w:rsidR="00AE00A2" w:rsidRDefault="005A3A99">
            <w:pPr>
              <w:spacing w:after="110" w:line="251" w:lineRule="auto"/>
              <w:ind w:right="276"/>
              <w:rPr>
                <w:sz w:val="18"/>
                <w:szCs w:val="18"/>
              </w:rPr>
            </w:pPr>
            <w:r>
              <w:rPr>
                <w:sz w:val="18"/>
                <w:szCs w:val="18"/>
              </w:rPr>
              <w:lastRenderedPageBreak/>
              <w:t xml:space="preserve"> </w:t>
            </w:r>
          </w:p>
        </w:tc>
      </w:tr>
      <w:tr w:rsidR="00AE00A2" w:rsidTr="00AE00A2">
        <w:trPr>
          <w:cnfStyle w:val="000000010000" w:firstRow="0" w:lastRow="0" w:firstColumn="0" w:lastColumn="0" w:oddVBand="0" w:evenVBand="0" w:oddHBand="0" w:evenHBand="1" w:firstRowFirstColumn="0" w:firstRowLastColumn="0" w:lastRowFirstColumn="0" w:lastRowLastColumn="0"/>
          <w:trHeight w:val="380"/>
        </w:trPr>
        <w:tc>
          <w:tcPr>
            <w:tcW w:w="9360" w:type="dxa"/>
            <w:gridSpan w:val="3"/>
            <w:tcBorders>
              <w:top w:val="single" w:sz="8" w:space="0" w:color="0092D1"/>
              <w:bottom w:val="single" w:sz="8" w:space="0" w:color="0092D1"/>
            </w:tcBorders>
            <w:shd w:val="clear" w:color="auto" w:fill="auto"/>
          </w:tcPr>
          <w:p w:rsidR="00AE00A2" w:rsidRDefault="005A3A99">
            <w:pPr>
              <w:rPr>
                <w:b/>
                <w:sz w:val="18"/>
                <w:szCs w:val="18"/>
              </w:rPr>
            </w:pPr>
            <w:r>
              <w:rPr>
                <w:b/>
                <w:sz w:val="18"/>
                <w:szCs w:val="18"/>
              </w:rPr>
              <w:lastRenderedPageBreak/>
              <w:t xml:space="preserve">Other critical considerations. </w:t>
            </w:r>
          </w:p>
          <w:p w:rsidR="00AE00A2" w:rsidRDefault="005A3A99">
            <w:pPr>
              <w:numPr>
                <w:ilvl w:val="0"/>
                <w:numId w:val="3"/>
              </w:numPr>
              <w:pBdr>
                <w:top w:val="nil"/>
                <w:left w:val="nil"/>
                <w:bottom w:val="nil"/>
                <w:right w:val="nil"/>
                <w:between w:val="nil"/>
              </w:pBdr>
              <w:rPr>
                <w:sz w:val="18"/>
                <w:szCs w:val="18"/>
              </w:rPr>
            </w:pPr>
            <w:r>
              <w:rPr>
                <w:sz w:val="18"/>
                <w:szCs w:val="18"/>
              </w:rPr>
              <w:t xml:space="preserve">No sub-agreements allowed. </w:t>
            </w:r>
          </w:p>
          <w:p w:rsidR="00AE00A2" w:rsidRDefault="005A3A99">
            <w:pPr>
              <w:numPr>
                <w:ilvl w:val="0"/>
                <w:numId w:val="3"/>
              </w:numPr>
              <w:pBdr>
                <w:top w:val="nil"/>
                <w:left w:val="nil"/>
                <w:bottom w:val="nil"/>
                <w:right w:val="nil"/>
                <w:between w:val="nil"/>
              </w:pBdr>
              <w:rPr>
                <w:sz w:val="18"/>
                <w:szCs w:val="18"/>
              </w:rPr>
            </w:pPr>
            <w:r>
              <w:rPr>
                <w:sz w:val="18"/>
                <w:szCs w:val="18"/>
              </w:rPr>
              <w:t>Past performance will be strongly considered when selecting the most suitable proposal.</w:t>
            </w:r>
          </w:p>
          <w:p w:rsidR="00AE00A2" w:rsidRDefault="00AE00A2">
            <w:pPr>
              <w:pBdr>
                <w:top w:val="nil"/>
                <w:left w:val="nil"/>
                <w:bottom w:val="nil"/>
                <w:right w:val="nil"/>
                <w:between w:val="nil"/>
              </w:pBdr>
              <w:ind w:left="720"/>
              <w:rPr>
                <w:sz w:val="18"/>
                <w:szCs w:val="18"/>
              </w:rPr>
            </w:pPr>
          </w:p>
        </w:tc>
      </w:tr>
    </w:tbl>
    <w:p w:rsidR="00AE00A2" w:rsidRDefault="00AE00A2">
      <w:pPr>
        <w:rPr>
          <w:rFonts w:ascii="Arial" w:eastAsia="Arial" w:hAnsi="Arial" w:cs="Arial"/>
          <w:b/>
          <w:sz w:val="18"/>
          <w:szCs w:val="18"/>
        </w:rPr>
      </w:pPr>
    </w:p>
    <w:p w:rsidR="00AE00A2" w:rsidRDefault="00AE00A2">
      <w:pPr>
        <w:rPr>
          <w:rFonts w:ascii="Arial" w:eastAsia="Arial" w:hAnsi="Arial" w:cs="Arial"/>
          <w:b/>
          <w:sz w:val="18"/>
          <w:szCs w:val="18"/>
        </w:rPr>
      </w:pPr>
    </w:p>
    <w:tbl>
      <w:tblPr>
        <w:tblStyle w:val="a4"/>
        <w:tblW w:w="9360"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800"/>
      </w:tblGrid>
      <w:tr w:rsidR="00AE00A2" w:rsidTr="00AE00A2">
        <w:trPr>
          <w:cnfStyle w:val="100000000000" w:firstRow="1" w:lastRow="0" w:firstColumn="0" w:lastColumn="0" w:oddVBand="0" w:evenVBand="0" w:oddHBand="0" w:evenHBand="0" w:firstRowFirstColumn="0" w:firstRowLastColumn="0" w:lastRowFirstColumn="0" w:lastRowLastColumn="0"/>
          <w:trHeight w:val="380"/>
        </w:trPr>
        <w:tc>
          <w:tcPr>
            <w:tcW w:w="6090" w:type="dxa"/>
          </w:tcPr>
          <w:p w:rsidR="00AE00A2" w:rsidRDefault="005A3A99">
            <w:pPr>
              <w:numPr>
                <w:ilvl w:val="0"/>
                <w:numId w:val="1"/>
              </w:numPr>
              <w:ind w:left="360"/>
              <w:rPr>
                <w:sz w:val="18"/>
                <w:szCs w:val="18"/>
              </w:rPr>
            </w:pPr>
            <w:r>
              <w:rPr>
                <w:rFonts w:ascii="Arial" w:eastAsia="Arial" w:hAnsi="Arial" w:cs="Arial"/>
                <w:sz w:val="18"/>
                <w:szCs w:val="18"/>
              </w:rPr>
              <w:t xml:space="preserve">Description of scope of work  </w:t>
            </w:r>
          </w:p>
        </w:tc>
        <w:tc>
          <w:tcPr>
            <w:tcW w:w="1470" w:type="dxa"/>
          </w:tcPr>
          <w:p w:rsidR="00AE00A2" w:rsidRDefault="00AE00A2">
            <w:pPr>
              <w:rPr>
                <w:i/>
                <w:color w:val="646B6E"/>
                <w:sz w:val="18"/>
                <w:szCs w:val="18"/>
              </w:rPr>
            </w:pPr>
          </w:p>
        </w:tc>
        <w:tc>
          <w:tcPr>
            <w:tcW w:w="1800" w:type="dxa"/>
          </w:tcPr>
          <w:p w:rsidR="00AE00A2" w:rsidRDefault="00AE00A2">
            <w:pPr>
              <w:rPr>
                <w:sz w:val="18"/>
                <w:szCs w:val="18"/>
              </w:rPr>
            </w:pPr>
          </w:p>
        </w:tc>
      </w:tr>
      <w:tr w:rsidR="00AE00A2" w:rsidTr="00AE00A2">
        <w:trPr>
          <w:cnfStyle w:val="000000100000" w:firstRow="0" w:lastRow="0" w:firstColumn="0" w:lastColumn="0" w:oddVBand="0" w:evenVBand="0" w:oddHBand="1" w:evenHBand="0" w:firstRowFirstColumn="0" w:firstRowLastColumn="0" w:lastRowFirstColumn="0" w:lastRowLastColumn="0"/>
          <w:trHeight w:val="6817"/>
        </w:trPr>
        <w:tc>
          <w:tcPr>
            <w:tcW w:w="9360" w:type="dxa"/>
            <w:gridSpan w:val="3"/>
            <w:tcBorders>
              <w:bottom w:val="single" w:sz="8" w:space="0" w:color="0092D1"/>
            </w:tcBorders>
            <w:shd w:val="clear" w:color="auto" w:fill="auto"/>
          </w:tcPr>
          <w:p w:rsidR="00AE00A2" w:rsidRDefault="005A3A99">
            <w:pPr>
              <w:rPr>
                <w:b/>
                <w:sz w:val="18"/>
                <w:szCs w:val="18"/>
              </w:rPr>
            </w:pPr>
            <w:r>
              <w:rPr>
                <w:b/>
                <w:sz w:val="18"/>
                <w:szCs w:val="18"/>
              </w:rPr>
              <w:t>Overall sector / Area of work / Background (for knowledge purposes)</w:t>
            </w:r>
          </w:p>
          <w:p w:rsidR="00AE00A2" w:rsidRDefault="00AE00A2">
            <w:pPr>
              <w:spacing w:before="60" w:after="60"/>
              <w:jc w:val="both"/>
              <w:rPr>
                <w:sz w:val="18"/>
                <w:szCs w:val="18"/>
              </w:rPr>
            </w:pPr>
          </w:p>
          <w:p w:rsidR="00AE00A2" w:rsidRDefault="005A3A99">
            <w:pPr>
              <w:widowControl w:val="0"/>
              <w:spacing w:after="200"/>
              <w:ind w:left="720"/>
              <w:rPr>
                <w:sz w:val="18"/>
                <w:szCs w:val="18"/>
              </w:rPr>
            </w:pPr>
            <w:r>
              <w:rPr>
                <w:sz w:val="18"/>
                <w:szCs w:val="18"/>
              </w:rPr>
              <w:t>SGP is developing a global plastics and behavior change program in ten communities and cities in ten countries, with the following targeted behaviors:</w:t>
            </w:r>
          </w:p>
          <w:p w:rsidR="00AE00A2" w:rsidRDefault="005A3A99">
            <w:pPr>
              <w:widowControl w:val="0"/>
              <w:numPr>
                <w:ilvl w:val="0"/>
                <w:numId w:val="4"/>
              </w:numPr>
              <w:ind w:left="1440"/>
              <w:rPr>
                <w:sz w:val="18"/>
                <w:szCs w:val="18"/>
              </w:rPr>
            </w:pPr>
            <w:r>
              <w:rPr>
                <w:b/>
                <w:sz w:val="18"/>
                <w:szCs w:val="18"/>
              </w:rPr>
              <w:t>Go</w:t>
            </w:r>
            <w:r>
              <w:rPr>
                <w:b/>
                <w:sz w:val="18"/>
                <w:szCs w:val="18"/>
              </w:rPr>
              <w:t>vernment:</w:t>
            </w:r>
            <w:r>
              <w:rPr>
                <w:sz w:val="18"/>
                <w:szCs w:val="18"/>
              </w:rPr>
              <w:t xml:space="preserve"> improved policy and regulations (bans, import restrictions and fiscal/monetary policies). Organize National Task Forces on Plastics Policy.</w:t>
            </w:r>
          </w:p>
          <w:p w:rsidR="00AE00A2" w:rsidRDefault="005A3A99">
            <w:pPr>
              <w:widowControl w:val="0"/>
              <w:numPr>
                <w:ilvl w:val="0"/>
                <w:numId w:val="4"/>
              </w:numPr>
              <w:ind w:left="1440"/>
              <w:rPr>
                <w:sz w:val="18"/>
                <w:szCs w:val="18"/>
              </w:rPr>
            </w:pPr>
            <w:r>
              <w:rPr>
                <w:b/>
                <w:sz w:val="18"/>
                <w:szCs w:val="18"/>
              </w:rPr>
              <w:t>Private Sector:</w:t>
            </w:r>
            <w:r>
              <w:rPr>
                <w:sz w:val="18"/>
                <w:szCs w:val="18"/>
              </w:rPr>
              <w:t xml:space="preserve"> responsible production, better design and pay for pollution. Plastics data/information (Pl</w:t>
            </w:r>
            <w:r>
              <w:rPr>
                <w:sz w:val="18"/>
                <w:szCs w:val="18"/>
              </w:rPr>
              <w:t>asticsApp). Develop Plastics App to analyze sources, quantity, and types of plastics.</w:t>
            </w:r>
          </w:p>
          <w:p w:rsidR="00AE00A2" w:rsidRDefault="005A3A99">
            <w:pPr>
              <w:widowControl w:val="0"/>
              <w:numPr>
                <w:ilvl w:val="0"/>
                <w:numId w:val="4"/>
              </w:numPr>
              <w:spacing w:after="200"/>
              <w:ind w:left="1440"/>
              <w:rPr>
                <w:sz w:val="18"/>
                <w:szCs w:val="18"/>
              </w:rPr>
            </w:pPr>
            <w:r>
              <w:rPr>
                <w:b/>
                <w:sz w:val="18"/>
                <w:szCs w:val="18"/>
              </w:rPr>
              <w:t>Society</w:t>
            </w:r>
            <w:r>
              <w:rPr>
                <w:sz w:val="18"/>
                <w:szCs w:val="18"/>
              </w:rPr>
              <w:t>: no littering, improved collection and waste management. Whole of Society Clean-up (an integrated clean-up and waste management plan). Monthly Clean-up Day.</w:t>
            </w:r>
          </w:p>
          <w:p w:rsidR="00AE00A2" w:rsidRDefault="005A3A99">
            <w:pPr>
              <w:widowControl w:val="0"/>
              <w:spacing w:after="200"/>
              <w:ind w:left="720"/>
              <w:rPr>
                <w:sz w:val="18"/>
                <w:szCs w:val="18"/>
              </w:rPr>
            </w:pPr>
            <w:r>
              <w:rPr>
                <w:b/>
                <w:sz w:val="18"/>
                <w:szCs w:val="18"/>
              </w:rPr>
              <w:t>Further background on the key activities of this overall program:</w:t>
            </w:r>
            <w:r>
              <w:rPr>
                <w:sz w:val="18"/>
                <w:szCs w:val="18"/>
              </w:rPr>
              <w:t xml:space="preserve"> </w:t>
            </w:r>
          </w:p>
          <w:p w:rsidR="00AE00A2" w:rsidRDefault="005A3A99">
            <w:pPr>
              <w:widowControl w:val="0"/>
              <w:numPr>
                <w:ilvl w:val="0"/>
                <w:numId w:val="4"/>
              </w:numPr>
              <w:ind w:left="1440"/>
              <w:rPr>
                <w:sz w:val="18"/>
                <w:szCs w:val="18"/>
              </w:rPr>
            </w:pPr>
            <w:r>
              <w:rPr>
                <w:b/>
                <w:sz w:val="18"/>
                <w:szCs w:val="18"/>
              </w:rPr>
              <w:t>Long term Clean-up Campaign:</w:t>
            </w:r>
            <w:r>
              <w:rPr>
                <w:sz w:val="18"/>
                <w:szCs w:val="18"/>
              </w:rPr>
              <w:t xml:space="preserve"> Local to global whole of society clean-up campaign (e.g. clean-up day replicating Rwanda model) that are sustainable and long lasting that lead to behavial chan</w:t>
            </w:r>
            <w:r>
              <w:rPr>
                <w:sz w:val="18"/>
                <w:szCs w:val="18"/>
              </w:rPr>
              <w:t>ge. Aim to remove 100,000 metric tons of plastic waste from the environment.</w:t>
            </w:r>
          </w:p>
          <w:p w:rsidR="00AE00A2" w:rsidRDefault="005A3A99">
            <w:pPr>
              <w:widowControl w:val="0"/>
              <w:numPr>
                <w:ilvl w:val="0"/>
                <w:numId w:val="4"/>
              </w:numPr>
              <w:ind w:left="1440"/>
              <w:rPr>
                <w:sz w:val="18"/>
                <w:szCs w:val="18"/>
              </w:rPr>
            </w:pPr>
            <w:r>
              <w:rPr>
                <w:b/>
                <w:sz w:val="18"/>
                <w:szCs w:val="18"/>
              </w:rPr>
              <w:t>Science:</w:t>
            </w:r>
            <w:r>
              <w:rPr>
                <w:sz w:val="18"/>
                <w:szCs w:val="18"/>
              </w:rPr>
              <w:t xml:space="preserve"> connecting citizen science, universities and global data platform to collect site-specific country based data with global presentation and consolidation, including altern</w:t>
            </w:r>
            <w:r>
              <w:rPr>
                <w:sz w:val="18"/>
                <w:szCs w:val="18"/>
              </w:rPr>
              <w:t>ative to plastics (connecting ten national universities with a global research institute in a global platform, connecting citizen science to scientific community)</w:t>
            </w:r>
          </w:p>
          <w:p w:rsidR="00AE00A2" w:rsidRDefault="005A3A99">
            <w:pPr>
              <w:widowControl w:val="0"/>
              <w:numPr>
                <w:ilvl w:val="0"/>
                <w:numId w:val="4"/>
              </w:numPr>
              <w:ind w:left="1440"/>
              <w:rPr>
                <w:sz w:val="18"/>
                <w:szCs w:val="18"/>
              </w:rPr>
            </w:pPr>
            <w:r>
              <w:rPr>
                <w:b/>
                <w:sz w:val="18"/>
                <w:szCs w:val="18"/>
              </w:rPr>
              <w:t>Policy:</w:t>
            </w:r>
            <w:r>
              <w:rPr>
                <w:sz w:val="18"/>
                <w:szCs w:val="18"/>
              </w:rPr>
              <w:t xml:space="preserve"> national policy dialogues linking to global legal instrument negotiation</w:t>
            </w:r>
          </w:p>
          <w:p w:rsidR="00AE00A2" w:rsidRDefault="005A3A99">
            <w:pPr>
              <w:widowControl w:val="0"/>
              <w:numPr>
                <w:ilvl w:val="0"/>
                <w:numId w:val="4"/>
              </w:numPr>
              <w:spacing w:after="200"/>
              <w:ind w:left="1440"/>
              <w:rPr>
                <w:sz w:val="18"/>
                <w:szCs w:val="18"/>
              </w:rPr>
            </w:pPr>
            <w:r>
              <w:rPr>
                <w:b/>
                <w:sz w:val="18"/>
                <w:szCs w:val="18"/>
              </w:rPr>
              <w:t>Behavior cha</w:t>
            </w:r>
            <w:r>
              <w:rPr>
                <w:b/>
                <w:sz w:val="18"/>
                <w:szCs w:val="18"/>
              </w:rPr>
              <w:t>nge:</w:t>
            </w:r>
            <w:r>
              <w:rPr>
                <w:sz w:val="18"/>
                <w:szCs w:val="18"/>
              </w:rPr>
              <w:t xml:space="preserve"> methodology development/implementation, questionnaires and research to monitor behavior change. </w:t>
            </w:r>
          </w:p>
          <w:p w:rsidR="00AE00A2" w:rsidRDefault="00AE00A2">
            <w:pPr>
              <w:rPr>
                <w:sz w:val="18"/>
                <w:szCs w:val="18"/>
              </w:rPr>
            </w:pPr>
          </w:p>
          <w:p w:rsidR="00AE00A2" w:rsidRDefault="00AE00A2">
            <w:pPr>
              <w:rPr>
                <w:sz w:val="18"/>
                <w:szCs w:val="18"/>
              </w:rPr>
            </w:pPr>
          </w:p>
          <w:p w:rsidR="00AE00A2" w:rsidRDefault="00AE00A2">
            <w:pPr>
              <w:rPr>
                <w:sz w:val="18"/>
                <w:szCs w:val="18"/>
              </w:rPr>
            </w:pPr>
          </w:p>
          <w:p w:rsidR="00AE00A2" w:rsidRDefault="005A3A99">
            <w:pPr>
              <w:rPr>
                <w:b/>
                <w:sz w:val="18"/>
                <w:szCs w:val="18"/>
              </w:rPr>
            </w:pPr>
            <w:r>
              <w:rPr>
                <w:b/>
                <w:sz w:val="18"/>
                <w:szCs w:val="18"/>
                <w:u w:val="single"/>
              </w:rPr>
              <w:t>SPECIFIC ACTIVITIES TO BE FUNDED</w:t>
            </w:r>
            <w:r>
              <w:rPr>
                <w:b/>
                <w:sz w:val="18"/>
                <w:szCs w:val="18"/>
              </w:rPr>
              <w:t xml:space="preserve"> (</w:t>
            </w:r>
            <w:r>
              <w:rPr>
                <w:b/>
                <w:sz w:val="18"/>
                <w:szCs w:val="18"/>
                <w:u w:val="single"/>
              </w:rPr>
              <w:t>and must be included in the proposal</w:t>
            </w:r>
            <w:r>
              <w:rPr>
                <w:b/>
                <w:sz w:val="18"/>
                <w:szCs w:val="18"/>
              </w:rPr>
              <w:t>):</w:t>
            </w:r>
          </w:p>
          <w:p w:rsidR="00AE00A2" w:rsidRDefault="00AE00A2">
            <w:pPr>
              <w:rPr>
                <w:b/>
                <w:sz w:val="18"/>
                <w:szCs w:val="18"/>
              </w:rPr>
            </w:pPr>
          </w:p>
          <w:p w:rsidR="00AE00A2" w:rsidRDefault="005A3A99">
            <w:pPr>
              <w:spacing w:after="240"/>
              <w:ind w:left="720"/>
              <w:jc w:val="both"/>
              <w:rPr>
                <w:sz w:val="18"/>
                <w:szCs w:val="18"/>
              </w:rPr>
            </w:pPr>
            <w:r>
              <w:rPr>
                <w:b/>
                <w:sz w:val="18"/>
                <w:szCs w:val="18"/>
              </w:rPr>
              <w:t>The project proposal should include a global implementation plan, with partic</w:t>
            </w:r>
            <w:r>
              <w:rPr>
                <w:b/>
                <w:sz w:val="18"/>
                <w:szCs w:val="18"/>
              </w:rPr>
              <w:t>ular emphasis in the Global South, and should cover the key areas of work described below, as they relate to plastic, waste management and behavior change.  The specific activities to be carried out within project proposals should be clearly presented in t</w:t>
            </w:r>
            <w:r>
              <w:rPr>
                <w:b/>
                <w:sz w:val="18"/>
                <w:szCs w:val="18"/>
              </w:rPr>
              <w:t xml:space="preserve">he proposal.  These activities can be further elaborated during the project’s planning and inception workshops. </w:t>
            </w:r>
          </w:p>
          <w:p w:rsidR="00AE00A2" w:rsidRDefault="005A3A99">
            <w:pPr>
              <w:widowControl w:val="0"/>
              <w:spacing w:after="200"/>
              <w:ind w:left="720"/>
              <w:rPr>
                <w:b/>
                <w:sz w:val="18"/>
                <w:szCs w:val="18"/>
              </w:rPr>
            </w:pPr>
            <w:r>
              <w:rPr>
                <w:b/>
                <w:sz w:val="18"/>
                <w:szCs w:val="18"/>
              </w:rPr>
              <w:t>Development of a Global Framework Strategy and Plan on Plastics and Behavior Change</w:t>
            </w:r>
          </w:p>
          <w:p w:rsidR="00AE00A2" w:rsidRDefault="005A3A99">
            <w:pPr>
              <w:widowControl w:val="0"/>
              <w:numPr>
                <w:ilvl w:val="0"/>
                <w:numId w:val="4"/>
              </w:numPr>
              <w:ind w:left="1440"/>
              <w:rPr>
                <w:sz w:val="18"/>
                <w:szCs w:val="18"/>
              </w:rPr>
            </w:pPr>
            <w:r>
              <w:rPr>
                <w:sz w:val="18"/>
                <w:szCs w:val="18"/>
              </w:rPr>
              <w:t>Develop a global framework Strategy and Plan on plastics an</w:t>
            </w:r>
            <w:r>
              <w:rPr>
                <w:sz w:val="18"/>
                <w:szCs w:val="18"/>
              </w:rPr>
              <w:t>d behavior change, including 1) why behavior change is important to addressing plastic pollution crisis; 2) what methodologies and process will be undertaken; 3) how to conduct trainings and capacity development; 4) a work plan to carry out the capacity bu</w:t>
            </w:r>
            <w:r>
              <w:rPr>
                <w:sz w:val="18"/>
                <w:szCs w:val="18"/>
              </w:rPr>
              <w:t>ilding and application of theories and methodologies.</w:t>
            </w:r>
          </w:p>
          <w:p w:rsidR="00AE00A2" w:rsidRDefault="005A3A99">
            <w:pPr>
              <w:widowControl w:val="0"/>
              <w:numPr>
                <w:ilvl w:val="0"/>
                <w:numId w:val="4"/>
              </w:numPr>
              <w:spacing w:after="200"/>
              <w:ind w:left="1440"/>
              <w:rPr>
                <w:sz w:val="18"/>
                <w:szCs w:val="18"/>
              </w:rPr>
            </w:pPr>
            <w:r>
              <w:rPr>
                <w:sz w:val="18"/>
                <w:szCs w:val="18"/>
              </w:rPr>
              <w:t>Support national teams in reviewing project proposals and ensure the design of projects is sound and scientifically valid to achieve maximum impact in behavior change.</w:t>
            </w:r>
          </w:p>
          <w:p w:rsidR="00AE00A2" w:rsidRDefault="005A3A99">
            <w:pPr>
              <w:widowControl w:val="0"/>
              <w:spacing w:after="200"/>
              <w:ind w:left="720"/>
              <w:rPr>
                <w:b/>
                <w:sz w:val="18"/>
                <w:szCs w:val="18"/>
              </w:rPr>
            </w:pPr>
            <w:r>
              <w:rPr>
                <w:b/>
                <w:sz w:val="18"/>
                <w:szCs w:val="18"/>
              </w:rPr>
              <w:t>Technical Guidance Notes, Tools, Trainings and Capacity Development</w:t>
            </w:r>
          </w:p>
          <w:p w:rsidR="00AE00A2" w:rsidRDefault="005A3A99">
            <w:pPr>
              <w:widowControl w:val="0"/>
              <w:numPr>
                <w:ilvl w:val="0"/>
                <w:numId w:val="4"/>
              </w:numPr>
              <w:ind w:left="1440"/>
              <w:rPr>
                <w:sz w:val="18"/>
                <w:szCs w:val="18"/>
              </w:rPr>
            </w:pPr>
            <w:r>
              <w:rPr>
                <w:sz w:val="18"/>
                <w:szCs w:val="18"/>
              </w:rPr>
              <w:lastRenderedPageBreak/>
              <w:t>Develop technical guidance notes, tools and materials to enhance national and local capacity in developing and implementing behavior change projects, with a special focus on plastic and wa</w:t>
            </w:r>
            <w:r>
              <w:rPr>
                <w:sz w:val="18"/>
                <w:szCs w:val="18"/>
              </w:rPr>
              <w:t>ste management.</w:t>
            </w:r>
          </w:p>
          <w:p w:rsidR="00AE00A2" w:rsidRDefault="005A3A99">
            <w:pPr>
              <w:widowControl w:val="0"/>
              <w:numPr>
                <w:ilvl w:val="0"/>
                <w:numId w:val="4"/>
              </w:numPr>
              <w:ind w:left="1440"/>
              <w:rPr>
                <w:sz w:val="18"/>
                <w:szCs w:val="18"/>
              </w:rPr>
            </w:pPr>
            <w:r>
              <w:rPr>
                <w:sz w:val="18"/>
                <w:szCs w:val="18"/>
              </w:rPr>
              <w:t>Develop questionnaires/surveys to identify behavior patterns, measure change overtime, and identify trends, with attribution to project activities in order to identify key drivers of behavior change.</w:t>
            </w:r>
          </w:p>
          <w:p w:rsidR="00AE00A2" w:rsidRDefault="005A3A99">
            <w:pPr>
              <w:widowControl w:val="0"/>
              <w:numPr>
                <w:ilvl w:val="0"/>
                <w:numId w:val="4"/>
              </w:numPr>
              <w:spacing w:after="200"/>
              <w:ind w:left="1440"/>
              <w:rPr>
                <w:sz w:val="18"/>
                <w:szCs w:val="18"/>
              </w:rPr>
            </w:pPr>
            <w:r>
              <w:rPr>
                <w:sz w:val="18"/>
                <w:szCs w:val="18"/>
              </w:rPr>
              <w:t>Organize global and regional trainings/workshops to train national teams in behavior change theory and practices.</w:t>
            </w:r>
          </w:p>
          <w:p w:rsidR="00AE00A2" w:rsidRDefault="005A3A99">
            <w:pPr>
              <w:widowControl w:val="0"/>
              <w:spacing w:after="200"/>
              <w:ind w:left="720"/>
              <w:rPr>
                <w:b/>
                <w:sz w:val="18"/>
                <w:szCs w:val="18"/>
              </w:rPr>
            </w:pPr>
            <w:r>
              <w:rPr>
                <w:b/>
                <w:sz w:val="18"/>
                <w:szCs w:val="18"/>
              </w:rPr>
              <w:t xml:space="preserve">Knowledge Management, Learning and Networking </w:t>
            </w:r>
          </w:p>
          <w:p w:rsidR="00AE00A2" w:rsidRDefault="005A3A99">
            <w:pPr>
              <w:widowControl w:val="0"/>
              <w:numPr>
                <w:ilvl w:val="0"/>
                <w:numId w:val="4"/>
              </w:numPr>
              <w:ind w:left="1440"/>
              <w:rPr>
                <w:sz w:val="18"/>
                <w:szCs w:val="18"/>
              </w:rPr>
            </w:pPr>
            <w:r>
              <w:rPr>
                <w:sz w:val="18"/>
                <w:szCs w:val="18"/>
              </w:rPr>
              <w:t>Establish a global network of universities, research institutes, and civil society organization</w:t>
            </w:r>
            <w:r>
              <w:rPr>
                <w:sz w:val="18"/>
                <w:szCs w:val="18"/>
              </w:rPr>
              <w:t>s (to be selected by SGP at the national level) and ensure learning and sharing in this network.</w:t>
            </w:r>
          </w:p>
          <w:p w:rsidR="00AE00A2" w:rsidRDefault="005A3A99">
            <w:pPr>
              <w:widowControl w:val="0"/>
              <w:numPr>
                <w:ilvl w:val="0"/>
                <w:numId w:val="4"/>
              </w:numPr>
              <w:ind w:left="1440"/>
              <w:rPr>
                <w:sz w:val="18"/>
                <w:szCs w:val="18"/>
              </w:rPr>
            </w:pPr>
            <w:r>
              <w:rPr>
                <w:sz w:val="18"/>
                <w:szCs w:val="18"/>
              </w:rPr>
              <w:t>Work with national universities/research institutes to produce a global report on the community-based application of behavior change</w:t>
            </w:r>
          </w:p>
          <w:p w:rsidR="00AE00A2" w:rsidRDefault="005A3A99">
            <w:pPr>
              <w:widowControl w:val="0"/>
              <w:numPr>
                <w:ilvl w:val="0"/>
                <w:numId w:val="4"/>
              </w:numPr>
              <w:spacing w:after="200"/>
              <w:ind w:left="1440"/>
              <w:rPr>
                <w:sz w:val="18"/>
                <w:szCs w:val="18"/>
              </w:rPr>
            </w:pPr>
            <w:r>
              <w:rPr>
                <w:sz w:val="18"/>
                <w:szCs w:val="18"/>
              </w:rPr>
              <w:t xml:space="preserve">Host visiting fellows and </w:t>
            </w:r>
            <w:r>
              <w:rPr>
                <w:sz w:val="18"/>
                <w:szCs w:val="18"/>
              </w:rPr>
              <w:t>researchers from developing countries</w:t>
            </w:r>
          </w:p>
          <w:p w:rsidR="00AE00A2" w:rsidRDefault="005A3A99">
            <w:pPr>
              <w:widowControl w:val="0"/>
              <w:spacing w:after="200"/>
              <w:ind w:left="720"/>
              <w:rPr>
                <w:b/>
                <w:sz w:val="18"/>
                <w:szCs w:val="18"/>
              </w:rPr>
            </w:pPr>
            <w:r>
              <w:rPr>
                <w:b/>
                <w:sz w:val="18"/>
                <w:szCs w:val="18"/>
              </w:rPr>
              <w:t>Monitoring, Evaluation and Reporting</w:t>
            </w:r>
          </w:p>
          <w:p w:rsidR="00AE00A2" w:rsidRDefault="005A3A99">
            <w:pPr>
              <w:widowControl w:val="0"/>
              <w:numPr>
                <w:ilvl w:val="0"/>
                <w:numId w:val="4"/>
              </w:numPr>
              <w:ind w:left="1440"/>
              <w:rPr>
                <w:sz w:val="18"/>
                <w:szCs w:val="18"/>
              </w:rPr>
            </w:pPr>
            <w:r>
              <w:rPr>
                <w:sz w:val="18"/>
                <w:szCs w:val="18"/>
              </w:rPr>
              <w:t>The entity will undertake participatory monitoring and evaluation of the project activities, on the basis of agreed schedules in the memorandum of agreement between it and the grant</w:t>
            </w:r>
            <w:r>
              <w:rPr>
                <w:sz w:val="18"/>
                <w:szCs w:val="18"/>
              </w:rPr>
              <w:t>ee. It is expected that the organization/entity will have inbuilt real-time monitoring process (i.e. quarterly) as best designed by them on the basis of the capacity of in-country partners they will be working with and be ready to provide information as re</w:t>
            </w:r>
            <w:r>
              <w:rPr>
                <w:sz w:val="18"/>
                <w:szCs w:val="18"/>
              </w:rPr>
              <w:t>quested in an ad hoc basis.</w:t>
            </w:r>
          </w:p>
          <w:p w:rsidR="00AE00A2" w:rsidRDefault="005A3A99">
            <w:pPr>
              <w:widowControl w:val="0"/>
              <w:numPr>
                <w:ilvl w:val="0"/>
                <w:numId w:val="4"/>
              </w:numPr>
              <w:spacing w:after="200"/>
              <w:ind w:left="1440"/>
              <w:rPr>
                <w:sz w:val="18"/>
                <w:szCs w:val="18"/>
              </w:rPr>
            </w:pPr>
            <w:r>
              <w:rPr>
                <w:sz w:val="18"/>
                <w:szCs w:val="18"/>
              </w:rPr>
              <w:t>The entity will maintain regular consultation and contact with SGP Technical Advisor regarding the implementation of the project, provide acceptable project and programme level progress (financial and narrative) reports on quart</w:t>
            </w:r>
            <w:r>
              <w:rPr>
                <w:sz w:val="18"/>
                <w:szCs w:val="18"/>
              </w:rPr>
              <w:t>erly basis and prepare a final evaluation report (s) for the period of the agreement.  The entity will have a mandatory annual progress reporting to SGP based on an agreed format. The report will reach the SGP global office by end of November.</w:t>
            </w:r>
          </w:p>
          <w:p w:rsidR="00AE00A2" w:rsidRDefault="00AE00A2">
            <w:pPr>
              <w:widowControl w:val="0"/>
              <w:spacing w:after="200"/>
              <w:rPr>
                <w:sz w:val="18"/>
                <w:szCs w:val="18"/>
              </w:rPr>
            </w:pPr>
          </w:p>
        </w:tc>
      </w:tr>
    </w:tbl>
    <w:p w:rsidR="00AE00A2" w:rsidRDefault="00AE00A2">
      <w:pPr>
        <w:rPr>
          <w:rFonts w:ascii="Arial" w:eastAsia="Arial" w:hAnsi="Arial" w:cs="Arial"/>
          <w:b/>
          <w:sz w:val="18"/>
          <w:szCs w:val="18"/>
        </w:rPr>
      </w:pPr>
    </w:p>
    <w:p w:rsidR="00AE00A2" w:rsidRDefault="00AE00A2">
      <w:pPr>
        <w:rPr>
          <w:rFonts w:ascii="Arial" w:eastAsia="Arial" w:hAnsi="Arial" w:cs="Arial"/>
          <w:b/>
          <w:sz w:val="18"/>
          <w:szCs w:val="18"/>
        </w:rPr>
      </w:pPr>
    </w:p>
    <w:tbl>
      <w:tblPr>
        <w:tblStyle w:val="a5"/>
        <w:tblW w:w="934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75"/>
        <w:gridCol w:w="1470"/>
        <w:gridCol w:w="1800"/>
      </w:tblGrid>
      <w:tr w:rsidR="00AE00A2" w:rsidTr="00AE00A2">
        <w:trPr>
          <w:cnfStyle w:val="100000000000" w:firstRow="1" w:lastRow="0" w:firstColumn="0" w:lastColumn="0" w:oddVBand="0" w:evenVBand="0" w:oddHBand="0" w:evenHBand="0" w:firstRowFirstColumn="0" w:firstRowLastColumn="0" w:lastRowFirstColumn="0" w:lastRowLastColumn="0"/>
          <w:trHeight w:val="380"/>
        </w:trPr>
        <w:tc>
          <w:tcPr>
            <w:tcW w:w="6075" w:type="dxa"/>
          </w:tcPr>
          <w:p w:rsidR="00AE00A2" w:rsidRDefault="005A3A99">
            <w:pPr>
              <w:numPr>
                <w:ilvl w:val="0"/>
                <w:numId w:val="1"/>
              </w:numPr>
              <w:ind w:left="360"/>
              <w:rPr>
                <w:sz w:val="18"/>
                <w:szCs w:val="18"/>
              </w:rPr>
            </w:pPr>
            <w:r>
              <w:rPr>
                <w:rFonts w:ascii="Arial" w:eastAsia="Arial" w:hAnsi="Arial" w:cs="Arial"/>
                <w:sz w:val="18"/>
                <w:szCs w:val="18"/>
              </w:rPr>
              <w:t>Evaluation process</w:t>
            </w:r>
          </w:p>
        </w:tc>
        <w:tc>
          <w:tcPr>
            <w:tcW w:w="1470" w:type="dxa"/>
          </w:tcPr>
          <w:p w:rsidR="00AE00A2" w:rsidRDefault="00AE00A2">
            <w:pPr>
              <w:rPr>
                <w:i/>
                <w:color w:val="646B6E"/>
                <w:sz w:val="18"/>
                <w:szCs w:val="18"/>
              </w:rPr>
            </w:pPr>
          </w:p>
        </w:tc>
        <w:tc>
          <w:tcPr>
            <w:tcW w:w="1800" w:type="dxa"/>
          </w:tcPr>
          <w:p w:rsidR="00AE00A2" w:rsidRDefault="00AE00A2">
            <w:pPr>
              <w:rPr>
                <w:sz w:val="18"/>
                <w:szCs w:val="18"/>
              </w:rPr>
            </w:pPr>
          </w:p>
        </w:tc>
      </w:tr>
      <w:tr w:rsidR="00AE00A2" w:rsidTr="00AE00A2">
        <w:trPr>
          <w:cnfStyle w:val="000000100000" w:firstRow="0" w:lastRow="0" w:firstColumn="0" w:lastColumn="0" w:oddVBand="0" w:evenVBand="0" w:oddHBand="1" w:evenHBand="0" w:firstRowFirstColumn="0" w:firstRowLastColumn="0" w:lastRowFirstColumn="0" w:lastRowLastColumn="0"/>
          <w:trHeight w:val="380"/>
        </w:trPr>
        <w:tc>
          <w:tcPr>
            <w:tcW w:w="9345" w:type="dxa"/>
            <w:gridSpan w:val="3"/>
            <w:tcBorders>
              <w:bottom w:val="single" w:sz="8" w:space="0" w:color="0092D1"/>
            </w:tcBorders>
            <w:shd w:val="clear" w:color="auto" w:fill="auto"/>
          </w:tcPr>
          <w:p w:rsidR="00AE00A2" w:rsidRDefault="005A3A99">
            <w:pPr>
              <w:rPr>
                <w:sz w:val="18"/>
                <w:szCs w:val="18"/>
              </w:rPr>
            </w:pPr>
            <w:r>
              <w:rPr>
                <w:sz w:val="18"/>
                <w:szCs w:val="18"/>
              </w:rPr>
              <w:t>In line with UNOPS evaluation principles of fairness, transparency and integrity, an independent Grant Evaluation and Selection Committee will be responsible for the review of proposals and the Grantee selection. The review is based o</w:t>
            </w:r>
            <w:r>
              <w:rPr>
                <w:sz w:val="18"/>
                <w:szCs w:val="18"/>
              </w:rPr>
              <w:t>n the criteria outlined in the ‘Call for Proposals’ (CFP) and includes an assessment of the grant proposal’s formal, technical and financial aspects. The review should usually include at least two (2) ‘substantially compliant’ proposals and result in the s</w:t>
            </w:r>
            <w:r>
              <w:rPr>
                <w:sz w:val="18"/>
                <w:szCs w:val="18"/>
              </w:rPr>
              <w:t xml:space="preserve">election of the lowest priced, substantially compliant proposal. Any non-compliant proposal may automatically be eliminated from the evaluation process. </w:t>
            </w:r>
          </w:p>
          <w:p w:rsidR="00AE00A2" w:rsidRDefault="00AE00A2">
            <w:pPr>
              <w:pBdr>
                <w:top w:val="nil"/>
                <w:left w:val="nil"/>
                <w:bottom w:val="nil"/>
                <w:right w:val="nil"/>
                <w:between w:val="nil"/>
              </w:pBdr>
              <w:rPr>
                <w:sz w:val="18"/>
                <w:szCs w:val="18"/>
              </w:rPr>
            </w:pPr>
          </w:p>
          <w:p w:rsidR="00AE00A2" w:rsidRDefault="005A3A99">
            <w:pPr>
              <w:pBdr>
                <w:top w:val="nil"/>
                <w:left w:val="nil"/>
                <w:bottom w:val="nil"/>
                <w:right w:val="nil"/>
                <w:between w:val="nil"/>
              </w:pBdr>
              <w:rPr>
                <w:sz w:val="18"/>
                <w:szCs w:val="18"/>
              </w:rPr>
            </w:pPr>
            <w:r>
              <w:rPr>
                <w:sz w:val="18"/>
                <w:szCs w:val="18"/>
              </w:rPr>
              <w:t>Shortlisted organizations may be invited to make a presentation, and revisions may be required in con</w:t>
            </w:r>
            <w:r>
              <w:rPr>
                <w:sz w:val="18"/>
                <w:szCs w:val="18"/>
              </w:rPr>
              <w:t>sultation with UNDP Plastics Task Force and GEF Small Grants Programme.</w:t>
            </w:r>
          </w:p>
          <w:p w:rsidR="00AE00A2" w:rsidRDefault="00AE00A2">
            <w:pPr>
              <w:pBdr>
                <w:top w:val="nil"/>
                <w:left w:val="nil"/>
                <w:bottom w:val="nil"/>
                <w:right w:val="nil"/>
                <w:between w:val="nil"/>
              </w:pBdr>
              <w:rPr>
                <w:sz w:val="18"/>
                <w:szCs w:val="18"/>
              </w:rPr>
            </w:pPr>
          </w:p>
        </w:tc>
      </w:tr>
    </w:tbl>
    <w:p w:rsidR="00AE00A2" w:rsidRDefault="00AE00A2">
      <w:pPr>
        <w:rPr>
          <w:rFonts w:ascii="Arial" w:eastAsia="Arial" w:hAnsi="Arial" w:cs="Arial"/>
          <w:b/>
          <w:sz w:val="18"/>
          <w:szCs w:val="18"/>
        </w:rPr>
      </w:pPr>
    </w:p>
    <w:tbl>
      <w:tblPr>
        <w:tblStyle w:val="a6"/>
        <w:tblW w:w="9345" w:type="dxa"/>
        <w:tblInd w:w="105"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90"/>
        <w:gridCol w:w="1470"/>
        <w:gridCol w:w="1785"/>
      </w:tblGrid>
      <w:tr w:rsidR="00AE00A2" w:rsidTr="00AE00A2">
        <w:trPr>
          <w:cnfStyle w:val="100000000000" w:firstRow="1" w:lastRow="0" w:firstColumn="0" w:lastColumn="0" w:oddVBand="0" w:evenVBand="0" w:oddHBand="0" w:evenHBand="0" w:firstRowFirstColumn="0" w:firstRowLastColumn="0" w:lastRowFirstColumn="0" w:lastRowLastColumn="0"/>
          <w:trHeight w:val="380"/>
        </w:trPr>
        <w:tc>
          <w:tcPr>
            <w:tcW w:w="6090" w:type="dxa"/>
          </w:tcPr>
          <w:p w:rsidR="00AE00A2" w:rsidRDefault="005A3A99">
            <w:pPr>
              <w:numPr>
                <w:ilvl w:val="0"/>
                <w:numId w:val="1"/>
              </w:numPr>
              <w:ind w:left="360"/>
              <w:rPr>
                <w:sz w:val="18"/>
                <w:szCs w:val="18"/>
              </w:rPr>
            </w:pPr>
            <w:r>
              <w:rPr>
                <w:rFonts w:ascii="Arial" w:eastAsia="Arial" w:hAnsi="Arial" w:cs="Arial"/>
                <w:sz w:val="18"/>
                <w:szCs w:val="18"/>
              </w:rPr>
              <w:t xml:space="preserve">UNOPS Grant Support Agreement </w:t>
            </w:r>
          </w:p>
        </w:tc>
        <w:tc>
          <w:tcPr>
            <w:tcW w:w="1470" w:type="dxa"/>
          </w:tcPr>
          <w:p w:rsidR="00AE00A2" w:rsidRDefault="00AE00A2">
            <w:pPr>
              <w:rPr>
                <w:i/>
                <w:color w:val="646B6E"/>
                <w:sz w:val="18"/>
                <w:szCs w:val="18"/>
              </w:rPr>
            </w:pPr>
          </w:p>
        </w:tc>
        <w:tc>
          <w:tcPr>
            <w:tcW w:w="1785" w:type="dxa"/>
          </w:tcPr>
          <w:p w:rsidR="00AE00A2" w:rsidRDefault="00AE00A2">
            <w:pPr>
              <w:rPr>
                <w:sz w:val="18"/>
                <w:szCs w:val="18"/>
              </w:rPr>
            </w:pPr>
          </w:p>
        </w:tc>
      </w:tr>
      <w:tr w:rsidR="00AE00A2" w:rsidTr="00AE00A2">
        <w:trPr>
          <w:cnfStyle w:val="000000100000" w:firstRow="0" w:lastRow="0" w:firstColumn="0" w:lastColumn="0" w:oddVBand="0" w:evenVBand="0" w:oddHBand="1" w:evenHBand="0" w:firstRowFirstColumn="0" w:firstRowLastColumn="0" w:lastRowFirstColumn="0" w:lastRowLastColumn="0"/>
          <w:trHeight w:val="380"/>
        </w:trPr>
        <w:tc>
          <w:tcPr>
            <w:tcW w:w="9345" w:type="dxa"/>
            <w:gridSpan w:val="3"/>
            <w:tcBorders>
              <w:bottom w:val="single" w:sz="8" w:space="0" w:color="0092D1"/>
            </w:tcBorders>
            <w:shd w:val="clear" w:color="auto" w:fill="auto"/>
          </w:tcPr>
          <w:p w:rsidR="00AE00A2" w:rsidRDefault="005A3A99">
            <w:pPr>
              <w:rPr>
                <w:sz w:val="18"/>
                <w:szCs w:val="18"/>
              </w:rPr>
            </w:pPr>
            <w:r>
              <w:rPr>
                <w:sz w:val="18"/>
                <w:szCs w:val="18"/>
              </w:rPr>
              <w:t>The UNOPS Standard Grant Support Agreement (GSA) containing UNOPS General Conditions for Grant Support</w:t>
            </w:r>
          </w:p>
          <w:p w:rsidR="00AE00A2" w:rsidRDefault="005A3A99">
            <w:pPr>
              <w:rPr>
                <w:sz w:val="18"/>
                <w:szCs w:val="18"/>
              </w:rPr>
            </w:pPr>
            <w:r>
              <w:rPr>
                <w:sz w:val="18"/>
                <w:szCs w:val="18"/>
              </w:rPr>
              <w:t>Agreements (Annex D of the UNOPS Grant Support Agreement template). The GSA constitutes an integral part</w:t>
            </w:r>
          </w:p>
          <w:p w:rsidR="00AE00A2" w:rsidRDefault="005A3A99">
            <w:pPr>
              <w:rPr>
                <w:sz w:val="18"/>
                <w:szCs w:val="18"/>
              </w:rPr>
            </w:pPr>
            <w:r>
              <w:rPr>
                <w:sz w:val="18"/>
                <w:szCs w:val="18"/>
              </w:rPr>
              <w:t>of this CFP as it is mandatory to accept this agreement with its conditions before submitting a proposal.</w:t>
            </w:r>
          </w:p>
          <w:p w:rsidR="00AE00A2" w:rsidRDefault="00AE00A2">
            <w:pPr>
              <w:rPr>
                <w:sz w:val="18"/>
                <w:szCs w:val="18"/>
              </w:rPr>
            </w:pPr>
          </w:p>
        </w:tc>
      </w:tr>
    </w:tbl>
    <w:p w:rsidR="00AE00A2" w:rsidRDefault="00AE00A2">
      <w:pPr>
        <w:rPr>
          <w:rFonts w:ascii="Arial" w:eastAsia="Arial" w:hAnsi="Arial" w:cs="Arial"/>
          <w:b/>
          <w:sz w:val="18"/>
          <w:szCs w:val="18"/>
        </w:rPr>
      </w:pPr>
    </w:p>
    <w:p w:rsidR="00AE00A2" w:rsidRDefault="00AE00A2">
      <w:pPr>
        <w:rPr>
          <w:rFonts w:ascii="Arial" w:eastAsia="Arial" w:hAnsi="Arial" w:cs="Arial"/>
          <w:b/>
          <w:sz w:val="18"/>
          <w:szCs w:val="18"/>
        </w:rPr>
      </w:pPr>
    </w:p>
    <w:p w:rsidR="00AE00A2" w:rsidRDefault="00AE00A2">
      <w:pPr>
        <w:rPr>
          <w:rFonts w:ascii="Arial" w:eastAsia="Arial" w:hAnsi="Arial" w:cs="Arial"/>
          <w:b/>
          <w:sz w:val="18"/>
          <w:szCs w:val="18"/>
        </w:rPr>
      </w:pPr>
    </w:p>
    <w:p w:rsidR="00AE00A2" w:rsidRDefault="00AE00A2">
      <w:pPr>
        <w:rPr>
          <w:rFonts w:ascii="Arial" w:eastAsia="Arial" w:hAnsi="Arial" w:cs="Arial"/>
          <w:b/>
          <w:sz w:val="18"/>
          <w:szCs w:val="18"/>
        </w:rPr>
      </w:pPr>
    </w:p>
    <w:p w:rsidR="00AE00A2" w:rsidRDefault="00AE00A2">
      <w:pPr>
        <w:rPr>
          <w:rFonts w:ascii="Arial" w:eastAsia="Arial" w:hAnsi="Arial" w:cs="Arial"/>
          <w:b/>
          <w:sz w:val="18"/>
          <w:szCs w:val="18"/>
        </w:rPr>
      </w:pPr>
    </w:p>
    <w:p w:rsidR="00AE00A2" w:rsidRDefault="00AE00A2">
      <w:pPr>
        <w:rPr>
          <w:rFonts w:ascii="Arial" w:eastAsia="Arial" w:hAnsi="Arial" w:cs="Arial"/>
          <w:b/>
          <w:sz w:val="18"/>
          <w:szCs w:val="18"/>
        </w:rPr>
      </w:pPr>
    </w:p>
    <w:p w:rsidR="00AE00A2" w:rsidRDefault="00AE00A2">
      <w:pPr>
        <w:rPr>
          <w:rFonts w:ascii="Arial" w:eastAsia="Arial" w:hAnsi="Arial" w:cs="Arial"/>
          <w:b/>
          <w:sz w:val="18"/>
          <w:szCs w:val="18"/>
        </w:rPr>
      </w:pPr>
    </w:p>
    <w:p w:rsidR="00AE00A2" w:rsidRDefault="00AE00A2">
      <w:pPr>
        <w:rPr>
          <w:rFonts w:ascii="Arial" w:eastAsia="Arial" w:hAnsi="Arial" w:cs="Arial"/>
          <w:b/>
          <w:sz w:val="18"/>
          <w:szCs w:val="18"/>
        </w:rPr>
      </w:pPr>
    </w:p>
    <w:p w:rsidR="00AE00A2" w:rsidRDefault="00AE00A2">
      <w:pPr>
        <w:rPr>
          <w:rFonts w:ascii="Arial" w:eastAsia="Arial" w:hAnsi="Arial" w:cs="Arial"/>
          <w:b/>
          <w:sz w:val="18"/>
          <w:szCs w:val="18"/>
        </w:rPr>
      </w:pPr>
    </w:p>
    <w:tbl>
      <w:tblPr>
        <w:tblStyle w:val="a7"/>
        <w:tblW w:w="9345" w:type="dxa"/>
        <w:tblInd w:w="120" w:type="dxa"/>
        <w:tblBorders>
          <w:top w:val="single" w:sz="8" w:space="0" w:color="4EC3E0"/>
          <w:left w:val="single" w:sz="8" w:space="0" w:color="4EC3E0"/>
          <w:bottom w:val="single" w:sz="8" w:space="0" w:color="4EC3E0"/>
          <w:right w:val="single" w:sz="8" w:space="0" w:color="4EC3E0"/>
          <w:insideH w:val="single" w:sz="6" w:space="0" w:color="FFFFFF"/>
          <w:insideV w:val="dashed" w:sz="4" w:space="0" w:color="0092D1"/>
        </w:tblBorders>
        <w:tblLayout w:type="fixed"/>
        <w:tblLook w:val="0420" w:firstRow="1" w:lastRow="0" w:firstColumn="0" w:lastColumn="0" w:noHBand="0" w:noVBand="1"/>
      </w:tblPr>
      <w:tblGrid>
        <w:gridCol w:w="6075"/>
        <w:gridCol w:w="1470"/>
        <w:gridCol w:w="1800"/>
      </w:tblGrid>
      <w:tr w:rsidR="00AE00A2" w:rsidTr="00AE00A2">
        <w:trPr>
          <w:cnfStyle w:val="100000000000" w:firstRow="1" w:lastRow="0" w:firstColumn="0" w:lastColumn="0" w:oddVBand="0" w:evenVBand="0" w:oddHBand="0" w:evenHBand="0" w:firstRowFirstColumn="0" w:firstRowLastColumn="0" w:lastRowFirstColumn="0" w:lastRowLastColumn="0"/>
          <w:trHeight w:val="380"/>
        </w:trPr>
        <w:tc>
          <w:tcPr>
            <w:tcW w:w="6075" w:type="dxa"/>
          </w:tcPr>
          <w:p w:rsidR="00AE00A2" w:rsidRDefault="005A3A99">
            <w:pPr>
              <w:numPr>
                <w:ilvl w:val="0"/>
                <w:numId w:val="1"/>
              </w:numPr>
              <w:ind w:left="360"/>
              <w:rPr>
                <w:sz w:val="18"/>
                <w:szCs w:val="18"/>
              </w:rPr>
            </w:pPr>
            <w:r>
              <w:rPr>
                <w:rFonts w:ascii="Arial" w:eastAsia="Arial" w:hAnsi="Arial" w:cs="Arial"/>
                <w:sz w:val="18"/>
                <w:szCs w:val="18"/>
              </w:rPr>
              <w:t>Interest / Grantee Application template</w:t>
            </w:r>
          </w:p>
        </w:tc>
        <w:tc>
          <w:tcPr>
            <w:tcW w:w="1470" w:type="dxa"/>
          </w:tcPr>
          <w:p w:rsidR="00AE00A2" w:rsidRDefault="00AE00A2">
            <w:pPr>
              <w:rPr>
                <w:i/>
                <w:color w:val="646B6E"/>
                <w:sz w:val="18"/>
                <w:szCs w:val="18"/>
              </w:rPr>
            </w:pPr>
          </w:p>
        </w:tc>
        <w:tc>
          <w:tcPr>
            <w:tcW w:w="1800" w:type="dxa"/>
          </w:tcPr>
          <w:p w:rsidR="00AE00A2" w:rsidRDefault="00AE00A2">
            <w:pPr>
              <w:rPr>
                <w:sz w:val="18"/>
                <w:szCs w:val="18"/>
              </w:rPr>
            </w:pPr>
          </w:p>
        </w:tc>
      </w:tr>
      <w:tr w:rsidR="00AE00A2" w:rsidTr="00AE00A2">
        <w:trPr>
          <w:cnfStyle w:val="000000100000" w:firstRow="0" w:lastRow="0" w:firstColumn="0" w:lastColumn="0" w:oddVBand="0" w:evenVBand="0" w:oddHBand="1" w:evenHBand="0" w:firstRowFirstColumn="0" w:firstRowLastColumn="0" w:lastRowFirstColumn="0" w:lastRowLastColumn="0"/>
          <w:trHeight w:val="380"/>
        </w:trPr>
        <w:tc>
          <w:tcPr>
            <w:tcW w:w="9345" w:type="dxa"/>
            <w:gridSpan w:val="3"/>
            <w:tcBorders>
              <w:bottom w:val="single" w:sz="8" w:space="0" w:color="0092D1"/>
            </w:tcBorders>
            <w:shd w:val="clear" w:color="auto" w:fill="auto"/>
          </w:tcPr>
          <w:p w:rsidR="00AE00A2" w:rsidRDefault="005A3A99">
            <w:pPr>
              <w:rPr>
                <w:sz w:val="18"/>
                <w:szCs w:val="18"/>
              </w:rPr>
            </w:pPr>
            <w:r>
              <w:rPr>
                <w:sz w:val="18"/>
                <w:szCs w:val="18"/>
              </w:rPr>
              <w:t>If your organization is interested in submitting a grant proposal in response to this CFP, please kindly prepare/submit a short ‘Expression of Interest’ statement (as below) prior to completing/submitting the Grantee Application template (</w:t>
            </w:r>
            <w:r>
              <w:rPr>
                <w:sz w:val="18"/>
                <w:szCs w:val="18"/>
                <w:u w:val="single"/>
              </w:rPr>
              <w:t>herewith attached</w:t>
            </w:r>
            <w:r>
              <w:rPr>
                <w:sz w:val="18"/>
                <w:szCs w:val="18"/>
                <w:u w:val="single"/>
              </w:rPr>
              <w:t xml:space="preserve"> to UNGM post</w:t>
            </w:r>
            <w:r>
              <w:rPr>
                <w:sz w:val="18"/>
                <w:szCs w:val="18"/>
              </w:rPr>
              <w:t>).</w:t>
            </w:r>
          </w:p>
          <w:p w:rsidR="00AE00A2" w:rsidRDefault="00AE00A2">
            <w:pPr>
              <w:rPr>
                <w:sz w:val="18"/>
                <w:szCs w:val="18"/>
              </w:rPr>
            </w:pPr>
          </w:p>
        </w:tc>
      </w:tr>
    </w:tbl>
    <w:p w:rsidR="00AE00A2" w:rsidRDefault="00AE00A2">
      <w:pPr>
        <w:rPr>
          <w:rFonts w:ascii="Arial" w:eastAsia="Arial" w:hAnsi="Arial" w:cs="Arial"/>
          <w:sz w:val="18"/>
          <w:szCs w:val="18"/>
        </w:rPr>
      </w:pPr>
    </w:p>
    <w:p w:rsidR="00AE00A2" w:rsidRDefault="00AE00A2">
      <w:pPr>
        <w:rPr>
          <w:rFonts w:ascii="Arial" w:eastAsia="Arial" w:hAnsi="Arial" w:cs="Arial"/>
          <w:sz w:val="18"/>
          <w:szCs w:val="18"/>
        </w:rPr>
      </w:pPr>
    </w:p>
    <w:tbl>
      <w:tblPr>
        <w:tblStyle w:val="a8"/>
        <w:tblW w:w="9375" w:type="dxa"/>
        <w:tblInd w:w="120" w:type="dxa"/>
        <w:tblBorders>
          <w:top w:val="single" w:sz="8" w:space="0" w:color="0092D1"/>
          <w:left w:val="single" w:sz="8" w:space="0" w:color="0092D1"/>
          <w:bottom w:val="single" w:sz="8" w:space="0" w:color="0092D1"/>
          <w:right w:val="single" w:sz="8" w:space="0" w:color="0092D1"/>
          <w:insideH w:val="single" w:sz="8" w:space="0" w:color="0092D1"/>
          <w:insideV w:val="single" w:sz="8" w:space="0" w:color="0092D1"/>
        </w:tblBorders>
        <w:tblLayout w:type="fixed"/>
        <w:tblLook w:val="0400" w:firstRow="0" w:lastRow="0" w:firstColumn="0" w:lastColumn="0" w:noHBand="0" w:noVBand="1"/>
      </w:tblPr>
      <w:tblGrid>
        <w:gridCol w:w="2100"/>
        <w:gridCol w:w="7275"/>
      </w:tblGrid>
      <w:tr w:rsidR="00AE00A2" w:rsidTr="00AE00A2">
        <w:trPr>
          <w:cnfStyle w:val="000000100000" w:firstRow="0" w:lastRow="0" w:firstColumn="0" w:lastColumn="0" w:oddVBand="0" w:evenVBand="0" w:oddHBand="1" w:evenHBand="0" w:firstRowFirstColumn="0" w:firstRowLastColumn="0" w:lastRowFirstColumn="0" w:lastRowLastColumn="0"/>
          <w:trHeight w:val="240"/>
        </w:trPr>
        <w:tc>
          <w:tcPr>
            <w:tcW w:w="9375" w:type="dxa"/>
            <w:gridSpan w:val="2"/>
            <w:tcBorders>
              <w:top w:val="single" w:sz="8" w:space="0" w:color="0092D1"/>
              <w:left w:val="single" w:sz="8" w:space="0" w:color="0092D1"/>
              <w:bottom w:val="single" w:sz="8" w:space="0" w:color="0092D1"/>
              <w:right w:val="single" w:sz="8" w:space="0" w:color="0092D1"/>
            </w:tcBorders>
            <w:shd w:val="clear" w:color="auto" w:fill="auto"/>
            <w:vAlign w:val="center"/>
          </w:tcPr>
          <w:p w:rsidR="00AE00A2" w:rsidRDefault="005A3A99">
            <w:pPr>
              <w:rPr>
                <w:sz w:val="18"/>
                <w:szCs w:val="18"/>
              </w:rPr>
            </w:pPr>
            <w:r>
              <w:rPr>
                <w:sz w:val="18"/>
                <w:szCs w:val="18"/>
              </w:rPr>
              <w:br/>
              <w:t>My organization _____________ is hereby formally interested in the advertised grant program/component and will submit a proposal within the established timeframe.</w:t>
            </w:r>
            <w:r>
              <w:rPr>
                <w:sz w:val="18"/>
                <w:szCs w:val="18"/>
              </w:rPr>
              <w:br/>
            </w:r>
          </w:p>
        </w:tc>
      </w:tr>
      <w:tr w:rsidR="00AE00A2" w:rsidTr="00AE00A2">
        <w:trPr>
          <w:cnfStyle w:val="000000010000" w:firstRow="0" w:lastRow="0" w:firstColumn="0" w:lastColumn="0" w:oddVBand="0" w:evenVBand="0" w:oddHBand="0" w:evenHBand="1" w:firstRowFirstColumn="0" w:firstRowLastColumn="0" w:lastRowFirstColumn="0" w:lastRowLastColumn="0"/>
          <w:trHeight w:val="480"/>
        </w:trPr>
        <w:tc>
          <w:tcPr>
            <w:tcW w:w="2100" w:type="dxa"/>
            <w:tcBorders>
              <w:top w:val="single" w:sz="8" w:space="0" w:color="0092D1"/>
              <w:left w:val="single" w:sz="8" w:space="0" w:color="0092D1"/>
              <w:bottom w:val="single" w:sz="8" w:space="0" w:color="0092D1"/>
              <w:right w:val="single" w:sz="8" w:space="0" w:color="0092D1"/>
            </w:tcBorders>
            <w:shd w:val="clear" w:color="auto" w:fill="0092D1"/>
            <w:vAlign w:val="center"/>
          </w:tcPr>
          <w:p w:rsidR="00AE00A2" w:rsidRDefault="005A3A99">
            <w:pPr>
              <w:rPr>
                <w:b/>
                <w:color w:val="FFFFFF"/>
                <w:sz w:val="18"/>
                <w:szCs w:val="18"/>
              </w:rPr>
            </w:pPr>
            <w:r>
              <w:rPr>
                <w:b/>
                <w:color w:val="FFFFFF"/>
                <w:sz w:val="18"/>
                <w:szCs w:val="18"/>
              </w:rPr>
              <w:t>Authorized signature:</w:t>
            </w:r>
          </w:p>
        </w:tc>
        <w:tc>
          <w:tcPr>
            <w:tcW w:w="7275" w:type="dxa"/>
            <w:tcBorders>
              <w:top w:val="single" w:sz="8" w:space="0" w:color="0092D1"/>
              <w:left w:val="single" w:sz="8" w:space="0" w:color="0092D1"/>
              <w:bottom w:val="single" w:sz="8" w:space="0" w:color="0092D1"/>
              <w:right w:val="dashed" w:sz="8" w:space="0" w:color="0092D1"/>
            </w:tcBorders>
            <w:vAlign w:val="center"/>
          </w:tcPr>
          <w:p w:rsidR="00AE00A2" w:rsidRDefault="00AE00A2">
            <w:pPr>
              <w:rPr>
                <w:sz w:val="18"/>
                <w:szCs w:val="18"/>
              </w:rPr>
            </w:pPr>
          </w:p>
        </w:tc>
      </w:tr>
      <w:tr w:rsidR="00AE00A2" w:rsidTr="00AE00A2">
        <w:trPr>
          <w:cnfStyle w:val="000000100000" w:firstRow="0" w:lastRow="0" w:firstColumn="0" w:lastColumn="0" w:oddVBand="0" w:evenVBand="0" w:oddHBand="1" w:evenHBand="0" w:firstRowFirstColumn="0" w:firstRowLastColumn="0" w:lastRowFirstColumn="0" w:lastRowLastColumn="0"/>
          <w:trHeight w:val="380"/>
        </w:trPr>
        <w:tc>
          <w:tcPr>
            <w:tcW w:w="2100" w:type="dxa"/>
            <w:tcBorders>
              <w:top w:val="single" w:sz="8" w:space="0" w:color="0092D1"/>
              <w:left w:val="single" w:sz="8" w:space="0" w:color="0092D1"/>
              <w:bottom w:val="single" w:sz="8" w:space="0" w:color="0092D1"/>
              <w:right w:val="single" w:sz="8" w:space="0" w:color="0092D1"/>
            </w:tcBorders>
            <w:shd w:val="clear" w:color="auto" w:fill="0092D1"/>
            <w:vAlign w:val="center"/>
          </w:tcPr>
          <w:p w:rsidR="00AE00A2" w:rsidRDefault="005A3A99">
            <w:pPr>
              <w:rPr>
                <w:b/>
                <w:color w:val="FFFFFF"/>
                <w:sz w:val="18"/>
                <w:szCs w:val="18"/>
              </w:rPr>
            </w:pPr>
            <w:r>
              <w:rPr>
                <w:b/>
                <w:color w:val="FFFFFF"/>
                <w:sz w:val="18"/>
                <w:szCs w:val="18"/>
              </w:rPr>
              <w:t>Title:</w:t>
            </w:r>
            <w:r>
              <w:rPr>
                <w:b/>
                <w:color w:val="FFFFFF"/>
                <w:sz w:val="18"/>
                <w:szCs w:val="18"/>
              </w:rPr>
              <w:tab/>
            </w:r>
          </w:p>
        </w:tc>
        <w:tc>
          <w:tcPr>
            <w:tcW w:w="7275" w:type="dxa"/>
            <w:tcBorders>
              <w:top w:val="single" w:sz="8" w:space="0" w:color="0092D1"/>
              <w:left w:val="single" w:sz="8" w:space="0" w:color="0092D1"/>
              <w:bottom w:val="single" w:sz="8" w:space="0" w:color="0092D1"/>
              <w:right w:val="single" w:sz="8" w:space="0" w:color="0092D1"/>
            </w:tcBorders>
            <w:vAlign w:val="center"/>
          </w:tcPr>
          <w:p w:rsidR="00AE00A2" w:rsidRDefault="00AE00A2">
            <w:pPr>
              <w:rPr>
                <w:sz w:val="18"/>
                <w:szCs w:val="18"/>
              </w:rPr>
            </w:pPr>
          </w:p>
        </w:tc>
      </w:tr>
      <w:tr w:rsidR="00AE00A2" w:rsidTr="00AE00A2">
        <w:trPr>
          <w:cnfStyle w:val="000000010000" w:firstRow="0" w:lastRow="0" w:firstColumn="0" w:lastColumn="0" w:oddVBand="0" w:evenVBand="0" w:oddHBand="0" w:evenHBand="1" w:firstRowFirstColumn="0" w:firstRowLastColumn="0" w:lastRowFirstColumn="0" w:lastRowLastColumn="0"/>
          <w:trHeight w:val="380"/>
        </w:trPr>
        <w:tc>
          <w:tcPr>
            <w:tcW w:w="2100" w:type="dxa"/>
            <w:tcBorders>
              <w:top w:val="single" w:sz="8" w:space="0" w:color="0092D1"/>
              <w:left w:val="single" w:sz="8" w:space="0" w:color="0092D1"/>
              <w:bottom w:val="single" w:sz="8" w:space="0" w:color="0092D1"/>
              <w:right w:val="single" w:sz="8" w:space="0" w:color="0092D1"/>
            </w:tcBorders>
            <w:shd w:val="clear" w:color="auto" w:fill="0092D1"/>
            <w:vAlign w:val="center"/>
          </w:tcPr>
          <w:p w:rsidR="00AE00A2" w:rsidRDefault="005A3A99">
            <w:pPr>
              <w:rPr>
                <w:b/>
                <w:color w:val="FFFFFF"/>
                <w:sz w:val="18"/>
                <w:szCs w:val="18"/>
              </w:rPr>
            </w:pPr>
            <w:r>
              <w:rPr>
                <w:b/>
                <w:color w:val="FFFFFF"/>
                <w:sz w:val="18"/>
                <w:szCs w:val="18"/>
              </w:rPr>
              <w:t>Date:</w:t>
            </w:r>
            <w:r>
              <w:rPr>
                <w:b/>
                <w:color w:val="FFFFFF"/>
                <w:sz w:val="18"/>
                <w:szCs w:val="18"/>
              </w:rPr>
              <w:tab/>
            </w:r>
          </w:p>
        </w:tc>
        <w:tc>
          <w:tcPr>
            <w:tcW w:w="7275" w:type="dxa"/>
            <w:tcBorders>
              <w:top w:val="single" w:sz="8" w:space="0" w:color="0092D1"/>
              <w:left w:val="single" w:sz="8" w:space="0" w:color="0092D1"/>
              <w:bottom w:val="single" w:sz="8" w:space="0" w:color="0092D1"/>
              <w:right w:val="single" w:sz="8" w:space="0" w:color="0092D1"/>
            </w:tcBorders>
            <w:vAlign w:val="center"/>
          </w:tcPr>
          <w:p w:rsidR="00AE00A2" w:rsidRDefault="00AE00A2">
            <w:pPr>
              <w:rPr>
                <w:color w:val="FF0000"/>
                <w:sz w:val="18"/>
                <w:szCs w:val="18"/>
              </w:rPr>
            </w:pPr>
          </w:p>
        </w:tc>
      </w:tr>
    </w:tbl>
    <w:p w:rsidR="00AE00A2" w:rsidRDefault="00AE00A2">
      <w:pPr>
        <w:pStyle w:val="Heading1"/>
        <w:widowControl w:val="0"/>
        <w:spacing w:line="276" w:lineRule="auto"/>
        <w:rPr>
          <w:rFonts w:ascii="Arial" w:eastAsia="Arial" w:hAnsi="Arial" w:cs="Arial"/>
          <w:sz w:val="18"/>
          <w:szCs w:val="18"/>
        </w:rPr>
      </w:pPr>
      <w:bookmarkStart w:id="3" w:name="_3dy6vkm" w:colFirst="0" w:colLast="0"/>
      <w:bookmarkEnd w:id="3"/>
    </w:p>
    <w:sectPr w:rsidR="00AE00A2">
      <w:headerReference w:type="default" r:id="rId9"/>
      <w:footerReference w:type="default" r:id="rId10"/>
      <w:pgSz w:w="12240" w:h="15840"/>
      <w:pgMar w:top="1440" w:right="1440" w:bottom="1440" w:left="1440"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A99" w:rsidRDefault="005A3A99">
      <w:pPr>
        <w:spacing w:line="240" w:lineRule="auto"/>
      </w:pPr>
      <w:r>
        <w:separator/>
      </w:r>
    </w:p>
  </w:endnote>
  <w:endnote w:type="continuationSeparator" w:id="0">
    <w:p w:rsidR="005A3A99" w:rsidRDefault="005A3A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panose1 w:val="020B09060308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2" w:rsidRDefault="00AE00A2">
    <w:pPr>
      <w:jc w:val="both"/>
      <w:rPr>
        <w:b/>
        <w:sz w:val="14"/>
        <w:szCs w:val="14"/>
      </w:rPr>
    </w:pPr>
  </w:p>
  <w:tbl>
    <w:tblPr>
      <w:tblStyle w:val="a9"/>
      <w:tblW w:w="9345" w:type="dxa"/>
      <w:jc w:val="center"/>
      <w:tblLayout w:type="fixed"/>
      <w:tblLook w:val="0600" w:firstRow="0" w:lastRow="0" w:firstColumn="0" w:lastColumn="0" w:noHBand="1" w:noVBand="1"/>
    </w:tblPr>
    <w:tblGrid>
      <w:gridCol w:w="3570"/>
      <w:gridCol w:w="2085"/>
      <w:gridCol w:w="3690"/>
    </w:tblGrid>
    <w:tr w:rsidR="00AE00A2">
      <w:trPr>
        <w:trHeight w:val="180"/>
        <w:jc w:val="center"/>
      </w:trPr>
      <w:tc>
        <w:tcPr>
          <w:tcW w:w="3570" w:type="dxa"/>
          <w:shd w:val="clear" w:color="auto" w:fill="auto"/>
          <w:tcMar>
            <w:top w:w="100" w:type="dxa"/>
            <w:left w:w="100" w:type="dxa"/>
            <w:bottom w:w="100" w:type="dxa"/>
            <w:right w:w="100" w:type="dxa"/>
          </w:tcMar>
          <w:vAlign w:val="center"/>
        </w:tcPr>
        <w:p w:rsidR="00AE00A2" w:rsidRDefault="005A3A99">
          <w:pPr>
            <w:rPr>
              <w:b/>
              <w:sz w:val="14"/>
              <w:szCs w:val="14"/>
            </w:rPr>
          </w:pPr>
          <w:r>
            <w:rPr>
              <w:color w:val="0092D1"/>
              <w:sz w:val="14"/>
              <w:szCs w:val="14"/>
            </w:rPr>
            <w:t>STANDARD CFP</w:t>
          </w:r>
        </w:p>
      </w:tc>
      <w:tc>
        <w:tcPr>
          <w:tcW w:w="2085" w:type="dxa"/>
          <w:shd w:val="clear" w:color="auto" w:fill="auto"/>
          <w:tcMar>
            <w:top w:w="100" w:type="dxa"/>
            <w:left w:w="100" w:type="dxa"/>
            <w:bottom w:w="100" w:type="dxa"/>
            <w:right w:w="100" w:type="dxa"/>
          </w:tcMar>
          <w:vAlign w:val="center"/>
        </w:tcPr>
        <w:p w:rsidR="00AE00A2" w:rsidRDefault="005A3A99">
          <w:pPr>
            <w:widowControl w:val="0"/>
            <w:jc w:val="center"/>
            <w:rPr>
              <w:b/>
              <w:sz w:val="14"/>
              <w:szCs w:val="14"/>
            </w:rPr>
          </w:pPr>
          <w:r>
            <w:rPr>
              <w:b/>
              <w:sz w:val="14"/>
              <w:szCs w:val="14"/>
            </w:rPr>
            <w:fldChar w:fldCharType="begin"/>
          </w:r>
          <w:r>
            <w:rPr>
              <w:b/>
              <w:sz w:val="14"/>
              <w:szCs w:val="14"/>
            </w:rPr>
            <w:instrText>PAGE</w:instrText>
          </w:r>
          <w:r w:rsidR="00F13927">
            <w:rPr>
              <w:b/>
              <w:sz w:val="14"/>
              <w:szCs w:val="14"/>
            </w:rPr>
            <w:fldChar w:fldCharType="separate"/>
          </w:r>
          <w:r w:rsidR="00F13927">
            <w:rPr>
              <w:b/>
              <w:noProof/>
              <w:sz w:val="14"/>
              <w:szCs w:val="14"/>
            </w:rPr>
            <w:t>4</w:t>
          </w:r>
          <w:r>
            <w:rPr>
              <w:b/>
              <w:sz w:val="14"/>
              <w:szCs w:val="14"/>
            </w:rPr>
            <w:fldChar w:fldCharType="end"/>
          </w:r>
          <w:r>
            <w:rPr>
              <w:b/>
              <w:sz w:val="14"/>
              <w:szCs w:val="14"/>
            </w:rPr>
            <w:t xml:space="preserve"> of </w:t>
          </w:r>
          <w:r>
            <w:rPr>
              <w:b/>
              <w:sz w:val="14"/>
              <w:szCs w:val="14"/>
            </w:rPr>
            <w:fldChar w:fldCharType="begin"/>
          </w:r>
          <w:r>
            <w:rPr>
              <w:b/>
              <w:sz w:val="14"/>
              <w:szCs w:val="14"/>
            </w:rPr>
            <w:instrText>NUMPAGES</w:instrText>
          </w:r>
          <w:r w:rsidR="00F13927">
            <w:rPr>
              <w:b/>
              <w:sz w:val="14"/>
              <w:szCs w:val="14"/>
            </w:rPr>
            <w:fldChar w:fldCharType="separate"/>
          </w:r>
          <w:r w:rsidR="00F13927">
            <w:rPr>
              <w:b/>
              <w:noProof/>
              <w:sz w:val="14"/>
              <w:szCs w:val="14"/>
            </w:rPr>
            <w:t>5</w:t>
          </w:r>
          <w:r>
            <w:rPr>
              <w:b/>
              <w:sz w:val="14"/>
              <w:szCs w:val="14"/>
            </w:rPr>
            <w:fldChar w:fldCharType="end"/>
          </w:r>
        </w:p>
      </w:tc>
      <w:tc>
        <w:tcPr>
          <w:tcW w:w="3690" w:type="dxa"/>
          <w:shd w:val="clear" w:color="auto" w:fill="auto"/>
          <w:tcMar>
            <w:top w:w="100" w:type="dxa"/>
            <w:left w:w="100" w:type="dxa"/>
            <w:bottom w:w="100" w:type="dxa"/>
            <w:right w:w="100" w:type="dxa"/>
          </w:tcMar>
          <w:vAlign w:val="center"/>
        </w:tcPr>
        <w:p w:rsidR="00AE00A2" w:rsidRDefault="005A3A99">
          <w:pPr>
            <w:spacing w:after="60"/>
            <w:ind w:left="720"/>
            <w:jc w:val="right"/>
            <w:rPr>
              <w:b/>
              <w:color w:val="646B6E"/>
              <w:sz w:val="14"/>
              <w:szCs w:val="14"/>
            </w:rPr>
          </w:pPr>
          <w:r>
            <w:rPr>
              <w:color w:val="646B6E"/>
              <w:sz w:val="14"/>
              <w:szCs w:val="14"/>
            </w:rPr>
            <w:t>IPMG 2019</w:t>
          </w:r>
        </w:p>
      </w:tc>
    </w:tr>
  </w:tbl>
  <w:p w:rsidR="00AE00A2" w:rsidRDefault="00AE00A2">
    <w:pP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A99" w:rsidRDefault="005A3A99">
      <w:pPr>
        <w:spacing w:line="240" w:lineRule="auto"/>
      </w:pPr>
      <w:r>
        <w:separator/>
      </w:r>
    </w:p>
  </w:footnote>
  <w:footnote w:type="continuationSeparator" w:id="0">
    <w:p w:rsidR="005A3A99" w:rsidRDefault="005A3A99">
      <w:pPr>
        <w:spacing w:line="240" w:lineRule="auto"/>
      </w:pPr>
      <w:r>
        <w:continuationSeparator/>
      </w:r>
    </w:p>
  </w:footnote>
  <w:footnote w:id="1">
    <w:p w:rsidR="00AE00A2" w:rsidRDefault="005A3A99">
      <w:pPr>
        <w:spacing w:after="160" w:line="259" w:lineRule="auto"/>
        <w:rPr>
          <w:rFonts w:ascii="Calibri" w:eastAsia="Calibri" w:hAnsi="Calibri" w:cs="Calibri"/>
          <w:sz w:val="16"/>
          <w:szCs w:val="16"/>
        </w:rPr>
      </w:pPr>
      <w:r>
        <w:rPr>
          <w:vertAlign w:val="superscript"/>
        </w:rPr>
        <w:footnoteRef/>
      </w:r>
      <w:r>
        <w:rPr>
          <w:rFonts w:ascii="Calibri" w:eastAsia="Calibri" w:hAnsi="Calibri" w:cs="Calibri"/>
          <w:sz w:val="16"/>
          <w:szCs w:val="16"/>
        </w:rPr>
        <w:t xml:space="preserve"> </w:t>
      </w:r>
      <w:r>
        <w:rPr>
          <w:rFonts w:ascii="Calibri" w:eastAsia="Calibri" w:hAnsi="Calibri" w:cs="Calibri"/>
          <w:color w:val="222222"/>
          <w:sz w:val="16"/>
          <w:szCs w:val="16"/>
          <w:highlight w:val="white"/>
        </w:rPr>
        <w:t>Geyer, R., Jambeck, J. R., &amp; Law, K. L. 2017. “Production, use, and fate of all plastics ever made.” </w:t>
      </w:r>
      <w:r>
        <w:rPr>
          <w:rFonts w:ascii="Calibri" w:eastAsia="Calibri" w:hAnsi="Calibri" w:cs="Calibri"/>
          <w:i/>
          <w:color w:val="222222"/>
          <w:sz w:val="16"/>
          <w:szCs w:val="16"/>
          <w:highlight w:val="white"/>
        </w:rPr>
        <w:t>Science advances</w:t>
      </w:r>
      <w:r>
        <w:rPr>
          <w:rFonts w:ascii="Calibri" w:eastAsia="Calibri" w:hAnsi="Calibri" w:cs="Calibri"/>
          <w:color w:val="222222"/>
          <w:sz w:val="16"/>
          <w:szCs w:val="16"/>
          <w:highlight w:val="white"/>
        </w:rPr>
        <w:t>, </w:t>
      </w:r>
      <w:r>
        <w:rPr>
          <w:rFonts w:ascii="Calibri" w:eastAsia="Calibri" w:hAnsi="Calibri" w:cs="Calibri"/>
          <w:i/>
          <w:color w:val="222222"/>
          <w:sz w:val="16"/>
          <w:szCs w:val="16"/>
          <w:highlight w:val="white"/>
        </w:rPr>
        <w:t>3</w:t>
      </w:r>
      <w:r>
        <w:rPr>
          <w:rFonts w:ascii="Calibri" w:eastAsia="Calibri" w:hAnsi="Calibri" w:cs="Calibri"/>
          <w:color w:val="222222"/>
          <w:sz w:val="16"/>
          <w:szCs w:val="16"/>
          <w:highlight w:val="white"/>
        </w:rPr>
        <w:t>(7), e1700782.</w:t>
      </w:r>
    </w:p>
  </w:footnote>
  <w:footnote w:id="2">
    <w:p w:rsidR="00AE00A2" w:rsidRDefault="005A3A99">
      <w:pPr>
        <w:spacing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w:t>
      </w:r>
      <w:hyperlink r:id="rId1">
        <w:r>
          <w:rPr>
            <w:rFonts w:ascii="Calibri" w:eastAsia="Calibri" w:hAnsi="Calibri" w:cs="Calibri"/>
            <w:color w:val="0563C1"/>
            <w:sz w:val="20"/>
            <w:szCs w:val="20"/>
            <w:u w:val="single"/>
          </w:rPr>
          <w:t>https://www.thegef.org/sites/default/files/council-meeting-documents/EN_GEF.C.59.STAP_.Inf_.02_Why%20behavior%20change%20matters%20to%20the%20GEF%20and%20what%20to%20do%2</w:t>
        </w:r>
        <w:r>
          <w:rPr>
            <w:rFonts w:ascii="Calibri" w:eastAsia="Calibri" w:hAnsi="Calibri" w:cs="Calibri"/>
            <w:color w:val="0563C1"/>
            <w:sz w:val="20"/>
            <w:szCs w:val="20"/>
            <w:u w:val="single"/>
          </w:rPr>
          <w:t>0about%20it.pdf</w:t>
        </w:r>
      </w:hyperlink>
      <w:r>
        <w:rPr>
          <w:rFonts w:ascii="Calibri" w:eastAsia="Calibri" w:hAnsi="Calibri" w:cs="Calibri"/>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A2" w:rsidRDefault="00AE00A2">
    <w:pPr>
      <w:spacing w:after="60" w:line="240" w:lineRule="auto"/>
      <w:ind w:left="720"/>
      <w:jc w:val="right"/>
      <w:rPr>
        <w:color w:val="646B6E"/>
        <w:sz w:val="14"/>
        <w:szCs w:val="14"/>
      </w:rPr>
    </w:pPr>
  </w:p>
  <w:p w:rsidR="00AE00A2" w:rsidRDefault="00AE00A2">
    <w:pPr>
      <w:spacing w:after="60" w:line="240" w:lineRule="auto"/>
      <w:ind w:left="720"/>
      <w:jc w:val="right"/>
      <w:rPr>
        <w:color w:val="646B6E"/>
        <w:sz w:val="14"/>
        <w:szCs w:val="14"/>
      </w:rPr>
    </w:pPr>
  </w:p>
  <w:p w:rsidR="00AE00A2" w:rsidRDefault="005A3A99">
    <w:pPr>
      <w:spacing w:after="60" w:line="240" w:lineRule="auto"/>
      <w:jc w:val="right"/>
      <w:rPr>
        <w:color w:val="646B6E"/>
        <w:sz w:val="14"/>
        <w:szCs w:val="14"/>
      </w:rPr>
    </w:pPr>
    <w:r>
      <w:rPr>
        <w:noProof/>
        <w:lang w:val="en-US"/>
      </w:rPr>
      <w:drawing>
        <wp:anchor distT="0" distB="0" distL="0" distR="0" simplePos="0" relativeHeight="251658240" behindDoc="0" locked="0" layoutInCell="1" hidden="0" allowOverlap="1">
          <wp:simplePos x="0" y="0"/>
          <wp:positionH relativeFrom="column">
            <wp:posOffset>-85722</wp:posOffset>
          </wp:positionH>
          <wp:positionV relativeFrom="paragraph">
            <wp:posOffset>158750</wp:posOffset>
          </wp:positionV>
          <wp:extent cx="1512000" cy="225687"/>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p w:rsidR="00AE00A2" w:rsidRDefault="00AE00A2">
    <w:pPr>
      <w:spacing w:after="60" w:line="240" w:lineRule="auto"/>
      <w:jc w:val="right"/>
      <w:rPr>
        <w:color w:val="646B6E"/>
        <w:sz w:val="14"/>
        <w:szCs w:val="14"/>
      </w:rPr>
    </w:pPr>
  </w:p>
  <w:p w:rsidR="00AE00A2" w:rsidRDefault="005A3A99">
    <w:pPr>
      <w:spacing w:after="60" w:line="240" w:lineRule="auto"/>
      <w:jc w:val="right"/>
      <w:rPr>
        <w:color w:val="0092D1"/>
        <w:sz w:val="20"/>
        <w:szCs w:val="20"/>
      </w:rPr>
    </w:pPr>
    <w:r>
      <w:rPr>
        <w:color w:val="0092D1"/>
        <w:sz w:val="20"/>
        <w:szCs w:val="20"/>
      </w:rPr>
      <w:t>ID–21970-001</w:t>
    </w:r>
  </w:p>
  <w:p w:rsidR="00AE00A2" w:rsidRDefault="005A3A99">
    <w:pPr>
      <w:spacing w:after="60" w:line="240" w:lineRule="auto"/>
      <w:jc w:val="right"/>
      <w:rPr>
        <w:color w:val="0092D1"/>
        <w:sz w:val="20"/>
        <w:szCs w:val="20"/>
      </w:rPr>
    </w:pPr>
    <w:r>
      <w:rPr>
        <w:color w:val="0092D1"/>
        <w:sz w:val="20"/>
        <w:szCs w:val="20"/>
      </w:rPr>
      <w:t>CFP/Plastic Waste Management &amp; Behavior Change/001</w:t>
    </w:r>
  </w:p>
  <w:p w:rsidR="00AE00A2" w:rsidRDefault="00AE00A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26190"/>
    <w:multiLevelType w:val="multilevel"/>
    <w:tmpl w:val="54EC6D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47F1B09"/>
    <w:multiLevelType w:val="multilevel"/>
    <w:tmpl w:val="B2A84D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8596F81"/>
    <w:multiLevelType w:val="multilevel"/>
    <w:tmpl w:val="EB68B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A042DBE"/>
    <w:multiLevelType w:val="multilevel"/>
    <w:tmpl w:val="2356F8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C351758"/>
    <w:multiLevelType w:val="multilevel"/>
    <w:tmpl w:val="95F8B6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0A2"/>
    <w:rsid w:val="005A3A99"/>
    <w:rsid w:val="00AE00A2"/>
    <w:rsid w:val="00F13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B4BF5"/>
  <w15:docId w15:val="{37591CE3-B55D-47CD-A223-7ECEB2369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17"/>
        <w:szCs w:val="17"/>
        <w:lang w:val="en"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240" w:line="240" w:lineRule="auto"/>
      <w:outlineLvl w:val="0"/>
    </w:pPr>
    <w:rPr>
      <w:rFonts w:ascii="Open Sans Extrabold" w:eastAsia="Open Sans Extrabold" w:hAnsi="Open Sans Extrabold" w:cs="Open Sans Extrabold"/>
      <w:color w:val="0092D1"/>
      <w:sz w:val="36"/>
      <w:szCs w:val="36"/>
    </w:rPr>
  </w:style>
  <w:style w:type="paragraph" w:styleId="Heading2">
    <w:name w:val="heading 2"/>
    <w:basedOn w:val="Normal"/>
    <w:next w:val="Normal"/>
    <w:pPr>
      <w:keepNext/>
      <w:keepLines/>
      <w:spacing w:before="120" w:after="120"/>
      <w:ind w:left="576"/>
      <w:outlineLvl w:val="1"/>
    </w:pPr>
    <w:rPr>
      <w:rFonts w:ascii="Open Sans Extrabold" w:eastAsia="Open Sans Extrabold" w:hAnsi="Open Sans Extrabold" w:cs="Open Sans Extrabold"/>
      <w:sz w:val="28"/>
      <w:szCs w:val="28"/>
    </w:rPr>
  </w:style>
  <w:style w:type="paragraph" w:styleId="Heading3">
    <w:name w:val="heading 3"/>
    <w:basedOn w:val="Normal"/>
    <w:next w:val="Normal"/>
    <w:pPr>
      <w:keepNext/>
      <w:keepLines/>
      <w:spacing w:before="200" w:after="60"/>
      <w:ind w:left="720"/>
      <w:outlineLvl w:val="2"/>
    </w:pPr>
    <w:rPr>
      <w:sz w:val="24"/>
      <w:szCs w:val="24"/>
    </w:rPr>
  </w:style>
  <w:style w:type="paragraph" w:styleId="Heading4">
    <w:name w:val="heading 4"/>
    <w:basedOn w:val="Normal"/>
    <w:next w:val="Normal"/>
    <w:pPr>
      <w:keepNext/>
      <w:keepLines/>
      <w:spacing w:before="200" w:after="40"/>
      <w:outlineLvl w:val="3"/>
    </w:pPr>
    <w:rPr>
      <w:rFonts w:ascii="Arial" w:eastAsia="Arial" w:hAnsi="Arial" w:cs="Arial"/>
      <w:b/>
      <w:sz w:val="20"/>
      <w:szCs w:val="20"/>
    </w:rPr>
  </w:style>
  <w:style w:type="paragraph" w:styleId="Heading5">
    <w:name w:val="heading 5"/>
    <w:basedOn w:val="Normal"/>
    <w:next w:val="Normal"/>
    <w:pPr>
      <w:keepNext/>
      <w:keepLines/>
      <w:spacing w:after="20"/>
      <w:outlineLvl w:val="4"/>
    </w:pPr>
    <w:rPr>
      <w:rFonts w:ascii="Arial" w:eastAsia="Arial" w:hAnsi="Arial" w:cs="Arial"/>
      <w:b/>
    </w:rPr>
  </w:style>
  <w:style w:type="paragraph" w:styleId="Heading6">
    <w:name w:val="heading 6"/>
    <w:basedOn w:val="Normal"/>
    <w:next w:val="Normal"/>
    <w:pPr>
      <w:keepNext/>
      <w:keepLines/>
      <w:spacing w:before="200"/>
      <w:outlineLvl w:val="5"/>
    </w:pPr>
    <w:rPr>
      <w:i/>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00" w:after="400"/>
      <w:jc w:val="center"/>
    </w:pPr>
    <w:rPr>
      <w:rFonts w:ascii="Open Sans Extrabold" w:eastAsia="Open Sans Extrabold" w:hAnsi="Open Sans Extrabold" w:cs="Open Sans Extrabold"/>
      <w:color w:val="0092D1"/>
      <w:sz w:val="60"/>
      <w:szCs w:val="6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 w:type="table" w:customStyle="1" w:styleId="a0">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 w:type="table" w:customStyle="1" w:styleId="a1">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 w:type="table" w:customStyle="1" w:styleId="a2">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3">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4">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5">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8">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shd w:val="clear" w:color="auto" w:fill="FFFFFF"/>
      </w:tcPr>
    </w:tblStylePr>
    <w:tblStylePr w:type="firstCol">
      <w:tblPr/>
      <w:tcPr>
        <w:shd w:val="clear" w:color="auto" w:fill="EFF1F0"/>
      </w:tcPr>
    </w:tblStylePr>
    <w:tblStylePr w:type="band1Vert">
      <w:tblPr/>
      <w:tcPr>
        <w:shd w:val="clear" w:color="auto" w:fill="FFFFFF"/>
      </w:tcPr>
    </w:tblStylePr>
    <w:tblStylePr w:type="band2Vert">
      <w:tblPr/>
      <w:tcPr>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9">
    <w:basedOn w:val="TableNormal"/>
    <w:pPr>
      <w:spacing w:line="240" w:lineRule="auto"/>
    </w:pPr>
    <w:rPr>
      <w:rFonts w:ascii="Arial" w:eastAsia="Arial" w:hAnsi="Arial" w:cs="Arial"/>
      <w:color w:val="000000"/>
    </w:rPr>
    <w:tblPr>
      <w:tblStyleRowBandSize w:val="1"/>
      <w:tblStyleColBandSize w:val="1"/>
      <w:tblCellMar>
        <w:left w:w="115" w:type="dxa"/>
        <w:right w:w="115" w:type="dxa"/>
      </w:tblCellMar>
    </w:tblPr>
    <w:tcPr>
      <w:shd w:val="clear" w:color="auto" w:fill="FFFFFF"/>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KristofferK@unops.org" TargetMode="External"/><Relationship Id="rId3" Type="http://schemas.openxmlformats.org/officeDocument/2006/relationships/settings" Target="settings.xml"/><Relationship Id="rId7" Type="http://schemas.openxmlformats.org/officeDocument/2006/relationships/hyperlink" Target="mailto:KristofferK@unops.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thegef.org/sites/default/files/council-meeting-documents/EN_GEF.C.59.STAP_.Inf_.02_Why%20behavior%20change%20matters%20to%20the%20GEF%20and%20what%20to%20do%20about%20i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1917</Words>
  <Characters>10933</Characters>
  <Application>Microsoft Office Word</Application>
  <DocSecurity>0</DocSecurity>
  <Lines>91</Lines>
  <Paragraphs>25</Paragraphs>
  <ScaleCrop>false</ScaleCrop>
  <Company>UNOPS - United Nations Office of Project Services</Company>
  <LinksUpToDate>false</LinksUpToDate>
  <CharactersWithSpaces>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Kristoffer KAPPY</cp:lastModifiedBy>
  <cp:revision>2</cp:revision>
  <dcterms:created xsi:type="dcterms:W3CDTF">2022-08-16T08:48:00Z</dcterms:created>
  <dcterms:modified xsi:type="dcterms:W3CDTF">2022-08-16T08:50:00Z</dcterms:modified>
</cp:coreProperties>
</file>