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Calibri" w:cs="Calibri" w:eastAsia="Calibri" w:hAnsi="Calibri"/>
          <w:b w:val="1"/>
          <w:i w:val="0"/>
          <w:smallCaps w:val="0"/>
          <w:strike w:val="0"/>
          <w:color w:val="518ecb"/>
          <w:u w:val="none"/>
          <w:shd w:fill="auto" w:val="clear"/>
          <w:vertAlign w:val="baseline"/>
        </w:rPr>
      </w:pPr>
      <w:r w:rsidDel="00000000" w:rsidR="00000000" w:rsidRPr="00000000">
        <w:rPr>
          <w:rFonts w:ascii="Calibri" w:cs="Calibri" w:eastAsia="Calibri" w:hAnsi="Calibri"/>
          <w:b w:val="1"/>
          <w:i w:val="0"/>
          <w:smallCaps w:val="0"/>
          <w:strike w:val="0"/>
          <w:color w:val="518ecb"/>
          <w:u w:val="none"/>
          <w:shd w:fill="auto" w:val="clear"/>
          <w:vertAlign w:val="baseline"/>
          <w:rtl w:val="0"/>
        </w:rPr>
        <w:t xml:space="preserve">Section II: Schedule of Requirements </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Calibri" w:cs="Calibri" w:eastAsia="Calibri" w:hAnsi="Calibri"/>
        </w:rPr>
      </w:pPr>
      <w:r w:rsidDel="00000000" w:rsidR="00000000" w:rsidRPr="00000000">
        <w:rPr>
          <w:rFonts w:ascii="Calibri" w:cs="Calibri" w:eastAsia="Calibri" w:hAnsi="Calibri"/>
          <w:b w:val="1"/>
          <w:i w:val="0"/>
          <w:smallCaps w:val="0"/>
          <w:strike w:val="0"/>
          <w:color w:val="000000"/>
          <w:u w:val="none"/>
          <w:shd w:fill="auto" w:val="clear"/>
          <w:vertAlign w:val="baseline"/>
          <w:rtl w:val="0"/>
        </w:rPr>
        <w:t xml:space="preserve">eSourcing reference:</w:t>
      </w:r>
      <w:r w:rsidDel="00000000" w:rsidR="00000000" w:rsidRPr="00000000">
        <w:rPr>
          <w:rFonts w:ascii="Calibri" w:cs="Calibri" w:eastAsia="Calibri" w:hAnsi="Calibri"/>
          <w:i w:val="0"/>
          <w:smallCaps w:val="0"/>
          <w:strike w:val="0"/>
          <w:color w:val="000000"/>
          <w:u w:val="none"/>
          <w:shd w:fill="auto" w:val="clear"/>
          <w:vertAlign w:val="baseline"/>
          <w:rtl w:val="0"/>
        </w:rPr>
        <w:t xml:space="preserve"> </w:t>
      </w:r>
      <w:r w:rsidDel="00000000" w:rsidR="00000000" w:rsidRPr="00000000">
        <w:rPr>
          <w:rFonts w:ascii="Calibri" w:cs="Calibri" w:eastAsia="Calibri" w:hAnsi="Calibri"/>
          <w:rtl w:val="0"/>
        </w:rPr>
        <w:t xml:space="preserve">RFQ/2022/42834</w:t>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Calibri" w:cs="Calibri" w:eastAsia="Calibri" w:hAnsi="Calibri"/>
          <w:b w:val="1"/>
        </w:rPr>
      </w:pPr>
      <w:r w:rsidDel="00000000" w:rsidR="00000000" w:rsidRPr="00000000">
        <w:rPr>
          <w:rFonts w:ascii="Calibri" w:cs="Calibri" w:eastAsia="Calibri" w:hAnsi="Calibri"/>
          <w:b w:val="1"/>
          <w:rtl w:val="0"/>
        </w:rPr>
        <w:t xml:space="preserve">Lot 1 Expansion enclosure for IBM V7000 Gen2 Server</w:t>
      </w:r>
      <w:r w:rsidDel="00000000" w:rsidR="00000000" w:rsidRPr="00000000">
        <w:rPr>
          <w:rtl w:val="0"/>
        </w:rPr>
      </w:r>
    </w:p>
    <w:tbl>
      <w:tblPr>
        <w:tblStyle w:val="Table1"/>
        <w:tblW w:w="8931.0" w:type="dxa"/>
        <w:jc w:val="left"/>
        <w:tblInd w:w="104.0" w:type="dxa"/>
        <w:tblBorders>
          <w:top w:color="00000a" w:space="0" w:sz="4" w:val="single"/>
          <w:left w:color="00000a" w:space="0" w:sz="4" w:val="single"/>
          <w:bottom w:color="000001" w:space="0" w:sz="4" w:val="single"/>
          <w:right w:color="00000a" w:space="0" w:sz="4" w:val="single"/>
          <w:insideH w:color="000001" w:space="0" w:sz="4" w:val="single"/>
          <w:insideV w:color="00000a" w:space="0" w:sz="4" w:val="single"/>
        </w:tblBorders>
        <w:tblLayout w:type="fixed"/>
        <w:tblLook w:val="0400"/>
      </w:tblPr>
      <w:tblGrid>
        <w:gridCol w:w="567"/>
        <w:gridCol w:w="7653"/>
        <w:gridCol w:w="711"/>
        <w:tblGridChange w:id="0">
          <w:tblGrid>
            <w:gridCol w:w="567"/>
            <w:gridCol w:w="7653"/>
            <w:gridCol w:w="711"/>
          </w:tblGrid>
        </w:tblGridChange>
      </w:tblGrid>
      <w:tr>
        <w:trPr>
          <w:cantSplit w:val="0"/>
          <w:trHeight w:val="240" w:hRule="atLeast"/>
          <w:tblHeader w:val="0"/>
        </w:trPr>
        <w:tc>
          <w:tcPr>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004">
            <w:pPr>
              <w:jc w:val="center"/>
              <w:rPr>
                <w:b w:val="1"/>
                <w:color w:val="ffffff"/>
              </w:rPr>
            </w:pPr>
            <w:r w:rsidDel="00000000" w:rsidR="00000000" w:rsidRPr="00000000">
              <w:rPr>
                <w:rtl w:val="0"/>
              </w:rPr>
            </w:r>
          </w:p>
        </w:tc>
        <w:tc>
          <w:tcPr>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005">
            <w:pPr>
              <w:jc w:val="center"/>
              <w:rPr>
                <w:b w:val="1"/>
                <w:color w:val="ffffff"/>
              </w:rPr>
            </w:pPr>
            <w:r w:rsidDel="00000000" w:rsidR="00000000" w:rsidRPr="00000000">
              <w:rPr>
                <w:rtl w:val="0"/>
              </w:rPr>
            </w:r>
          </w:p>
        </w:tc>
        <w:tc>
          <w:tcPr>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006">
            <w:pPr>
              <w:jc w:val="center"/>
              <w:rPr>
                <w:b w:val="1"/>
                <w:color w:val="ffffff"/>
              </w:rPr>
            </w:pPr>
            <w:r w:rsidDel="00000000" w:rsidR="00000000" w:rsidRPr="00000000">
              <w:rPr>
                <w:rtl w:val="0"/>
              </w:rPr>
            </w:r>
          </w:p>
        </w:tc>
      </w:tr>
      <w:tr>
        <w:trPr>
          <w:cantSplit w:val="0"/>
          <w:trHeight w:val="240" w:hRule="atLeast"/>
          <w:tblHeader w:val="0"/>
        </w:trPr>
        <w:tc>
          <w:tcPr>
            <w:vMerge w:val="restart"/>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007">
            <w:pPr>
              <w:jc w:val="center"/>
              <w:rPr>
                <w:b w:val="1"/>
                <w:color w:val="ffffff"/>
              </w:rPr>
            </w:pPr>
            <w:r w:rsidDel="00000000" w:rsidR="00000000" w:rsidRPr="00000000">
              <w:rPr>
                <w:b w:val="1"/>
                <w:color w:val="ffffff"/>
                <w:rtl w:val="0"/>
              </w:rPr>
              <w:t xml:space="preserve">No.</w:t>
            </w:r>
          </w:p>
        </w:tc>
        <w:tc>
          <w:tcPr>
            <w:vMerge w:val="restart"/>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008">
            <w:pPr>
              <w:jc w:val="center"/>
              <w:rPr>
                <w:b w:val="1"/>
                <w:color w:val="ffffff"/>
              </w:rPr>
            </w:pPr>
            <w:r w:rsidDel="00000000" w:rsidR="00000000" w:rsidRPr="00000000">
              <w:rPr>
                <w:b w:val="1"/>
                <w:color w:val="ffffff"/>
                <w:rtl w:val="0"/>
              </w:rPr>
              <w:t xml:space="preserve">TECHNICAL SPECIFICATIONS (minimum requirements)</w:t>
            </w:r>
          </w:p>
        </w:tc>
        <w:tc>
          <w:tcPr>
            <w:vMerge w:val="restart"/>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009">
            <w:pPr>
              <w:jc w:val="center"/>
              <w:rPr>
                <w:b w:val="1"/>
                <w:color w:val="ffffff"/>
              </w:rPr>
            </w:pPr>
            <w:r w:rsidDel="00000000" w:rsidR="00000000" w:rsidRPr="00000000">
              <w:rPr>
                <w:b w:val="1"/>
                <w:color w:val="ffffff"/>
                <w:rtl w:val="0"/>
              </w:rPr>
              <w:t xml:space="preserve">Psc.</w:t>
            </w:r>
          </w:p>
        </w:tc>
      </w:tr>
      <w:tr>
        <w:trPr>
          <w:cantSplit w:val="0"/>
          <w:trHeight w:val="230" w:hRule="atLeast"/>
          <w:tblHeader w:val="0"/>
        </w:trPr>
        <w:tc>
          <w:tcPr>
            <w:vMerge w:val="continue"/>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vMerge w:val="continue"/>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c>
          <w:tcPr>
            <w:vMerge w:val="continue"/>
            <w:tcBorders>
              <w:top w:color="00000a" w:space="0" w:sz="4" w:val="single"/>
              <w:left w:color="00000a" w:space="0" w:sz="4" w:val="single"/>
              <w:bottom w:color="000001" w:space="0" w:sz="4" w:val="single"/>
              <w:right w:color="00000a" w:space="0" w:sz="4" w:val="single"/>
            </w:tcBorders>
            <w:shd w:fill="333399" w:val="clear"/>
            <w:tcMar>
              <w:left w:w="98.0" w:type="dxa"/>
            </w:tcMar>
            <w:vAlign w:val="center"/>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ffffff"/>
              </w:rPr>
            </w:pPr>
            <w:r w:rsidDel="00000000" w:rsidR="00000000" w:rsidRPr="00000000">
              <w:rPr>
                <w:rtl w:val="0"/>
              </w:rPr>
            </w:r>
          </w:p>
        </w:tc>
      </w:tr>
      <w:tr>
        <w:trPr>
          <w:cantSplit w:val="0"/>
          <w:trHeight w:val="795" w:hRule="atLeast"/>
          <w:tblHeader w:val="0"/>
        </w:trPr>
        <w:tc>
          <w:tcPr>
            <w:tcBorders>
              <w:top w:color="00000a" w:space="0" w:sz="4" w:val="single"/>
              <w:left w:color="00000a" w:space="0" w:sz="4" w:val="single"/>
              <w:bottom w:color="000001" w:space="0" w:sz="4" w:val="single"/>
              <w:right w:color="00000a" w:space="0" w:sz="4" w:val="single"/>
            </w:tcBorders>
            <w:tcMar>
              <w:left w:w="98.0" w:type="dxa"/>
            </w:tcMar>
            <w:vAlign w:val="center"/>
          </w:tcPr>
          <w:p w:rsidR="00000000" w:rsidDel="00000000" w:rsidP="00000000" w:rsidRDefault="00000000" w:rsidRPr="00000000" w14:paraId="0000000D">
            <w:pPr>
              <w:jc w:val="center"/>
              <w:rPr>
                <w:b w:val="1"/>
              </w:rPr>
            </w:pPr>
            <w:r w:rsidDel="00000000" w:rsidR="00000000" w:rsidRPr="00000000">
              <w:rPr>
                <w:rtl w:val="0"/>
              </w:rPr>
            </w:r>
          </w:p>
        </w:tc>
        <w:tc>
          <w:tcPr>
            <w:tcBorders>
              <w:top w:color="00000a" w:space="0" w:sz="4" w:val="single"/>
              <w:left w:color="00000a" w:space="0" w:sz="4" w:val="single"/>
              <w:bottom w:color="000001" w:space="0" w:sz="4" w:val="single"/>
              <w:right w:color="00000a" w:space="0" w:sz="4" w:val="single"/>
            </w:tcBorders>
            <w:tcMar>
              <w:left w:w="98.0" w:type="dxa"/>
            </w:tcMar>
            <w:vAlign w:val="center"/>
          </w:tcPr>
          <w:p w:rsidR="00000000" w:rsidDel="00000000" w:rsidP="00000000" w:rsidRDefault="00000000" w:rsidRPr="00000000" w14:paraId="0000000E">
            <w:pPr>
              <w:rPr>
                <w:b w:val="1"/>
                <w:highlight w:val="black"/>
              </w:rPr>
            </w:pPr>
            <w:r w:rsidDel="00000000" w:rsidR="00000000" w:rsidRPr="00000000">
              <w:rPr>
                <w:b w:val="1"/>
                <w:rtl w:val="0"/>
              </w:rPr>
              <w:t xml:space="preserve">Description</w:t>
            </w:r>
            <w:r w:rsidDel="00000000" w:rsidR="00000000" w:rsidRPr="00000000">
              <w:rPr>
                <w:rtl w:val="0"/>
              </w:rPr>
            </w:r>
          </w:p>
        </w:tc>
        <w:tc>
          <w:tcPr>
            <w:tcBorders>
              <w:top w:color="00000a" w:space="0" w:sz="4" w:val="single"/>
              <w:left w:color="00000a" w:space="0" w:sz="4" w:val="single"/>
              <w:bottom w:color="000001" w:space="0" w:sz="4" w:val="single"/>
              <w:right w:color="00000a" w:space="0" w:sz="4" w:val="single"/>
            </w:tcBorders>
            <w:tcMar>
              <w:left w:w="98.0" w:type="dxa"/>
            </w:tcMar>
            <w:vAlign w:val="center"/>
          </w:tcPr>
          <w:p w:rsidR="00000000" w:rsidDel="00000000" w:rsidP="00000000" w:rsidRDefault="00000000" w:rsidRPr="00000000" w14:paraId="0000000F">
            <w:pPr>
              <w:jc w:val="center"/>
              <w:rPr>
                <w:b w:val="1"/>
              </w:rPr>
            </w:pPr>
            <w:r w:rsidDel="00000000" w:rsidR="00000000" w:rsidRPr="00000000">
              <w:rPr>
                <w:rtl w:val="0"/>
              </w:rPr>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010">
            <w:pPr>
              <w:jc w:val="center"/>
              <w:rPr/>
            </w:pPr>
            <w:r w:rsidDel="00000000" w:rsidR="00000000" w:rsidRPr="00000000">
              <w:rPr>
                <w:rtl w:val="0"/>
              </w:rPr>
              <w:t xml:space="preserve">1</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11">
            <w:pPr>
              <w:ind w:left="90" w:firstLine="0"/>
              <w:rPr>
                <w:b w:val="1"/>
              </w:rPr>
            </w:pPr>
            <w:r w:rsidDel="00000000" w:rsidR="00000000" w:rsidRPr="00000000">
              <w:rPr>
                <w:b w:val="1"/>
                <w:rtl w:val="0"/>
              </w:rPr>
              <w:t xml:space="preserve">Expansion enclosure </w:t>
            </w:r>
          </w:p>
          <w:p w:rsidR="00000000" w:rsidDel="00000000" w:rsidP="00000000" w:rsidRDefault="00000000" w:rsidRPr="00000000" w14:paraId="00000012">
            <w:pPr>
              <w:ind w:left="90" w:firstLine="0"/>
              <w:rPr>
                <w:i w:val="1"/>
              </w:rPr>
            </w:pPr>
            <w:r w:rsidDel="00000000" w:rsidR="00000000" w:rsidRPr="00000000">
              <w:rPr>
                <w:rtl w:val="0"/>
              </w:rPr>
            </w:r>
          </w:p>
          <w:p w:rsidR="00000000" w:rsidDel="00000000" w:rsidP="00000000" w:rsidRDefault="00000000" w:rsidRPr="00000000" w14:paraId="00000013">
            <w:pPr>
              <w:ind w:left="90" w:firstLine="0"/>
              <w:rPr/>
            </w:pPr>
            <w:r w:rsidDel="00000000" w:rsidR="00000000" w:rsidRPr="00000000">
              <w:rPr>
                <w:rtl w:val="0"/>
              </w:rPr>
              <w:t xml:space="preserve">Form Factor: 2U</w:t>
            </w:r>
          </w:p>
          <w:p w:rsidR="00000000" w:rsidDel="00000000" w:rsidP="00000000" w:rsidRDefault="00000000" w:rsidRPr="00000000" w14:paraId="00000014">
            <w:pPr>
              <w:ind w:left="90" w:firstLine="0"/>
              <w:rPr/>
            </w:pPr>
            <w:r w:rsidDel="00000000" w:rsidR="00000000" w:rsidRPr="00000000">
              <w:rPr>
                <w:rtl w:val="0"/>
              </w:rPr>
              <w:t xml:space="preserve">Expansion Canisters: Min 2</w:t>
            </w:r>
          </w:p>
          <w:p w:rsidR="00000000" w:rsidDel="00000000" w:rsidP="00000000" w:rsidRDefault="00000000" w:rsidRPr="00000000" w14:paraId="00000015">
            <w:pPr>
              <w:ind w:left="90" w:firstLine="0"/>
              <w:rPr/>
            </w:pPr>
            <w:r w:rsidDel="00000000" w:rsidR="00000000" w:rsidRPr="00000000">
              <w:rPr>
                <w:rtl w:val="0"/>
              </w:rPr>
              <w:t xml:space="preserve">Inter Connectivity Ports: 12 Gb SAS ports for control enclosure and expansion enclosure</w:t>
            </w:r>
          </w:p>
          <w:p w:rsidR="00000000" w:rsidDel="00000000" w:rsidP="00000000" w:rsidRDefault="00000000" w:rsidRPr="00000000" w14:paraId="00000016">
            <w:pPr>
              <w:ind w:left="90" w:firstLine="0"/>
              <w:rPr/>
            </w:pPr>
            <w:r w:rsidDel="00000000" w:rsidR="00000000" w:rsidRPr="00000000">
              <w:rPr>
                <w:rtl w:val="0"/>
              </w:rPr>
              <w:t xml:space="preserve">attachment</w:t>
            </w:r>
          </w:p>
          <w:p w:rsidR="00000000" w:rsidDel="00000000" w:rsidP="00000000" w:rsidRDefault="00000000" w:rsidRPr="00000000" w14:paraId="00000017">
            <w:pPr>
              <w:ind w:left="90" w:firstLine="0"/>
              <w:rPr/>
            </w:pPr>
            <w:r w:rsidDel="00000000" w:rsidR="00000000" w:rsidRPr="00000000">
              <w:rPr>
                <w:rtl w:val="0"/>
              </w:rPr>
              <w:t xml:space="preserve">HDD Slots: Min 24 slots for 2.5-inch SAS drives</w:t>
            </w:r>
          </w:p>
          <w:p w:rsidR="00000000" w:rsidDel="00000000" w:rsidP="00000000" w:rsidRDefault="00000000" w:rsidRPr="00000000" w14:paraId="00000018">
            <w:pPr>
              <w:ind w:left="90" w:firstLine="0"/>
              <w:rPr/>
            </w:pPr>
            <w:r w:rsidDel="00000000" w:rsidR="00000000" w:rsidRPr="00000000">
              <w:rPr>
                <w:rtl w:val="0"/>
              </w:rPr>
              <w:t xml:space="preserve">Included HDD 24 x 1.8TB 10K 2.5 Inch HDD</w:t>
            </w:r>
          </w:p>
          <w:p w:rsidR="00000000" w:rsidDel="00000000" w:rsidP="00000000" w:rsidRDefault="00000000" w:rsidRPr="00000000" w14:paraId="00000019">
            <w:pPr>
              <w:ind w:left="90" w:firstLine="0"/>
              <w:rPr/>
            </w:pPr>
            <w:r w:rsidDel="00000000" w:rsidR="00000000" w:rsidRPr="00000000">
              <w:rPr>
                <w:rtl w:val="0"/>
              </w:rPr>
              <w:t xml:space="preserve">Power supply: 2 standard power supply</w:t>
            </w:r>
          </w:p>
          <w:p w:rsidR="00000000" w:rsidDel="00000000" w:rsidP="00000000" w:rsidRDefault="00000000" w:rsidRPr="00000000" w14:paraId="0000001A">
            <w:pPr>
              <w:ind w:left="90" w:firstLine="0"/>
              <w:rPr/>
            </w:pPr>
            <w:r w:rsidDel="00000000" w:rsidR="00000000" w:rsidRPr="00000000">
              <w:rPr>
                <w:rtl w:val="0"/>
              </w:rPr>
              <w:t xml:space="preserve">Hot-swap components: Power supplies, HDD drives</w:t>
            </w:r>
          </w:p>
          <w:p w:rsidR="00000000" w:rsidDel="00000000" w:rsidP="00000000" w:rsidRDefault="00000000" w:rsidRPr="00000000" w14:paraId="0000001B">
            <w:pPr>
              <w:ind w:left="90" w:firstLine="0"/>
              <w:rPr/>
            </w:pPr>
            <w:r w:rsidDel="00000000" w:rsidR="00000000" w:rsidRPr="00000000">
              <w:rPr>
                <w:rtl w:val="0"/>
              </w:rPr>
              <w:t xml:space="preserve">Support to connect with following control enclosure: IBM V7000 Gen2</w:t>
            </w:r>
          </w:p>
          <w:p w:rsidR="00000000" w:rsidDel="00000000" w:rsidP="00000000" w:rsidRDefault="00000000" w:rsidRPr="00000000" w14:paraId="0000001C">
            <w:pPr>
              <w:ind w:left="90" w:firstLine="0"/>
              <w:rPr/>
            </w:pPr>
            <w:r w:rsidDel="00000000" w:rsidR="00000000" w:rsidRPr="00000000">
              <w:rPr>
                <w:rtl w:val="0"/>
              </w:rPr>
              <w:t xml:space="preserve">Warranty: 1 year</w:t>
            </w:r>
          </w:p>
          <w:p w:rsidR="00000000" w:rsidDel="00000000" w:rsidP="00000000" w:rsidRDefault="00000000" w:rsidRPr="00000000" w14:paraId="0000001D">
            <w:pPr>
              <w:ind w:left="0" w:firstLine="0"/>
              <w:rPr/>
            </w:pPr>
            <w:r w:rsidDel="00000000" w:rsidR="00000000" w:rsidRPr="00000000">
              <w:rPr>
                <w:rtl w:val="0"/>
              </w:rPr>
            </w:r>
          </w:p>
          <w:p w:rsidR="00000000" w:rsidDel="00000000" w:rsidP="00000000" w:rsidRDefault="00000000" w:rsidRPr="00000000" w14:paraId="0000001E">
            <w:pPr>
              <w:ind w:left="0" w:firstLine="0"/>
              <w:rPr>
                <w:i w:val="1"/>
              </w:rPr>
            </w:pPr>
            <w:r w:rsidDel="00000000" w:rsidR="00000000" w:rsidRPr="00000000">
              <w:rPr>
                <w:i w:val="1"/>
                <w:rtl w:val="0"/>
              </w:rPr>
              <w:t xml:space="preserve">Reference model: IBM 2076 Storwize V7000 SFF Expansion Enclosure Model 24F</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1F">
            <w:pPr>
              <w:jc w:val="center"/>
              <w:rPr/>
            </w:pPr>
            <w:r w:rsidDel="00000000" w:rsidR="00000000" w:rsidRPr="00000000">
              <w:rPr>
                <w:rtl w:val="0"/>
              </w:rPr>
              <w:t xml:space="preserve">1</w:t>
            </w:r>
          </w:p>
        </w:tc>
      </w:tr>
    </w:tbl>
    <w:p w:rsidR="00000000" w:rsidDel="00000000" w:rsidP="00000000" w:rsidRDefault="00000000" w:rsidRPr="00000000" w14:paraId="00000020">
      <w:pPr>
        <w:spacing w:line="276" w:lineRule="auto"/>
        <w:ind w:left="0" w:firstLine="0"/>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21">
      <w:pPr>
        <w:keepNext w:val="1"/>
        <w:keepLines w:val="1"/>
        <w:spacing w:after="240" w:before="360" w:lineRule="auto"/>
        <w:rPr>
          <w:rFonts w:ascii="Calibri" w:cs="Calibri" w:eastAsia="Calibri" w:hAnsi="Calibri"/>
        </w:rPr>
      </w:pPr>
      <w:r w:rsidDel="00000000" w:rsidR="00000000" w:rsidRPr="00000000">
        <w:rPr>
          <w:rFonts w:ascii="Calibri" w:cs="Calibri" w:eastAsia="Calibri" w:hAnsi="Calibri"/>
          <w:b w:val="1"/>
          <w:rtl w:val="0"/>
        </w:rPr>
        <w:t xml:space="preserve">Lot 2 Components for server</w:t>
      </w:r>
      <w:r w:rsidDel="00000000" w:rsidR="00000000" w:rsidRPr="00000000">
        <w:rPr>
          <w:rtl w:val="0"/>
        </w:rPr>
      </w:r>
    </w:p>
    <w:tbl>
      <w:tblPr>
        <w:tblStyle w:val="Table2"/>
        <w:tblW w:w="8931.0" w:type="dxa"/>
        <w:jc w:val="left"/>
        <w:tblInd w:w="104.0" w:type="dxa"/>
        <w:tblBorders>
          <w:top w:color="00000a" w:space="0" w:sz="4" w:val="single"/>
          <w:left w:color="00000a" w:space="0" w:sz="4" w:val="single"/>
          <w:bottom w:color="000001" w:space="0" w:sz="4" w:val="single"/>
          <w:right w:color="00000a" w:space="0" w:sz="4" w:val="single"/>
          <w:insideH w:color="000001" w:space="0" w:sz="4" w:val="single"/>
          <w:insideV w:color="00000a" w:space="0" w:sz="4" w:val="single"/>
        </w:tblBorders>
        <w:tblLayout w:type="fixed"/>
        <w:tblLook w:val="0400"/>
      </w:tblPr>
      <w:tblGrid>
        <w:gridCol w:w="567"/>
        <w:gridCol w:w="7653"/>
        <w:gridCol w:w="711"/>
        <w:tblGridChange w:id="0">
          <w:tblGrid>
            <w:gridCol w:w="567"/>
            <w:gridCol w:w="7653"/>
            <w:gridCol w:w="711"/>
          </w:tblGrid>
        </w:tblGridChange>
      </w:tblGrid>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022">
            <w:pPr>
              <w:jc w:val="center"/>
              <w:rPr/>
            </w:pPr>
            <w:r w:rsidDel="00000000" w:rsidR="00000000" w:rsidRPr="00000000">
              <w:rPr>
                <w:rtl w:val="0"/>
              </w:rPr>
              <w:t xml:space="preserve">1</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23">
            <w:pPr>
              <w:rPr>
                <w:b w:val="1"/>
              </w:rPr>
            </w:pPr>
            <w:r w:rsidDel="00000000" w:rsidR="00000000" w:rsidRPr="00000000">
              <w:rPr>
                <w:b w:val="1"/>
                <w:rtl w:val="0"/>
              </w:rPr>
              <w:t xml:space="preserve">FC Adapter</w:t>
            </w:r>
          </w:p>
          <w:p w:rsidR="00000000" w:rsidDel="00000000" w:rsidP="00000000" w:rsidRDefault="00000000" w:rsidRPr="00000000" w14:paraId="00000024">
            <w:pPr>
              <w:rPr>
                <w:i w:val="1"/>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Interface (Bus) Type: PCI Express 2.0</w:t>
            </w:r>
          </w:p>
          <w:p w:rsidR="00000000" w:rsidDel="00000000" w:rsidP="00000000" w:rsidRDefault="00000000" w:rsidRPr="00000000" w14:paraId="00000026">
            <w:pPr>
              <w:rPr/>
            </w:pPr>
            <w:r w:rsidDel="00000000" w:rsidR="00000000" w:rsidRPr="00000000">
              <w:rPr>
                <w:rtl w:val="0"/>
              </w:rPr>
              <w:t xml:space="preserve">Ports: Min 2 x 8Gb Fibre Channel</w:t>
            </w:r>
          </w:p>
          <w:p w:rsidR="00000000" w:rsidDel="00000000" w:rsidP="00000000" w:rsidRDefault="00000000" w:rsidRPr="00000000" w14:paraId="00000027">
            <w:pPr>
              <w:rPr/>
            </w:pPr>
            <w:r w:rsidDel="00000000" w:rsidR="00000000" w:rsidRPr="00000000">
              <w:rPr>
                <w:rtl w:val="0"/>
              </w:rPr>
              <w:t xml:space="preserve">Data Link Protocol: 8Gb Fibre Channel</w:t>
            </w:r>
          </w:p>
          <w:p w:rsidR="00000000" w:rsidDel="00000000" w:rsidP="00000000" w:rsidRDefault="00000000" w:rsidRPr="00000000" w14:paraId="00000028">
            <w:pPr>
              <w:rPr/>
            </w:pPr>
            <w:r w:rsidDel="00000000" w:rsidR="00000000" w:rsidRPr="00000000">
              <w:rPr>
                <w:rtl w:val="0"/>
              </w:rPr>
              <w:t xml:space="preserve">Compatible with following server: Dell R310</w:t>
            </w:r>
          </w:p>
          <w:p w:rsidR="00000000" w:rsidDel="00000000" w:rsidP="00000000" w:rsidRDefault="00000000" w:rsidRPr="00000000" w14:paraId="00000029">
            <w:pPr>
              <w:rPr/>
            </w:pPr>
            <w:r w:rsidDel="00000000" w:rsidR="00000000" w:rsidRPr="00000000">
              <w:rPr>
                <w:rtl w:val="0"/>
              </w:rPr>
              <w:t xml:space="preserve">Included FC Cables: Min qty x 2, 3m, LC</w:t>
            </w:r>
          </w:p>
          <w:p w:rsidR="00000000" w:rsidDel="00000000" w:rsidP="00000000" w:rsidRDefault="00000000" w:rsidRPr="00000000" w14:paraId="0000002A">
            <w:pPr>
              <w:rPr/>
            </w:pPr>
            <w:r w:rsidDel="00000000" w:rsidR="00000000" w:rsidRPr="00000000">
              <w:rPr>
                <w:rtl w:val="0"/>
              </w:rPr>
              <w:t xml:space="preserve">Warranty: 1 year</w:t>
            </w:r>
          </w:p>
          <w:p w:rsidR="00000000" w:rsidDel="00000000" w:rsidP="00000000" w:rsidRDefault="00000000" w:rsidRPr="00000000" w14:paraId="0000002B">
            <w:pPr>
              <w:ind w:left="720" w:firstLine="0"/>
              <w:rPr/>
            </w:pPr>
            <w:r w:rsidDel="00000000" w:rsidR="00000000" w:rsidRPr="00000000">
              <w:rPr>
                <w:rtl w:val="0"/>
              </w:rPr>
            </w:r>
          </w:p>
          <w:p w:rsidR="00000000" w:rsidDel="00000000" w:rsidP="00000000" w:rsidRDefault="00000000" w:rsidRPr="00000000" w14:paraId="0000002C">
            <w:pPr>
              <w:rPr>
                <w:i w:val="1"/>
              </w:rPr>
            </w:pPr>
            <w:r w:rsidDel="00000000" w:rsidR="00000000" w:rsidRPr="00000000">
              <w:rPr>
                <w:i w:val="1"/>
                <w:rtl w:val="0"/>
              </w:rPr>
              <w:t xml:space="preserve">Reference model is given for the information purpose only and any brand and model complying with the minimum technical specfiication will be accepted</w:t>
            </w:r>
          </w:p>
          <w:p w:rsidR="00000000" w:rsidDel="00000000" w:rsidP="00000000" w:rsidRDefault="00000000" w:rsidRPr="00000000" w14:paraId="0000002D">
            <w:pPr>
              <w:rPr>
                <w:i w:val="1"/>
              </w:rPr>
            </w:pPr>
            <w:r w:rsidDel="00000000" w:rsidR="00000000" w:rsidRPr="00000000">
              <w:rPr>
                <w:i w:val="1"/>
                <w:rtl w:val="0"/>
              </w:rPr>
              <w:t xml:space="preserve">Reference model: Qlogic 2562</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2E">
            <w:pPr>
              <w:jc w:val="center"/>
              <w:rPr/>
            </w:pPr>
            <w:r w:rsidDel="00000000" w:rsidR="00000000" w:rsidRPr="00000000">
              <w:rPr>
                <w:rtl w:val="0"/>
              </w:rPr>
              <w:t xml:space="preserve">1</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02F">
            <w:pPr>
              <w:jc w:val="center"/>
              <w:rPr/>
            </w:pPr>
            <w:r w:rsidDel="00000000" w:rsidR="00000000" w:rsidRPr="00000000">
              <w:rPr>
                <w:rtl w:val="0"/>
              </w:rPr>
              <w:t xml:space="preserve">2</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30">
            <w:pPr>
              <w:rPr>
                <w:b w:val="1"/>
              </w:rPr>
            </w:pPr>
            <w:r w:rsidDel="00000000" w:rsidR="00000000" w:rsidRPr="00000000">
              <w:rPr>
                <w:b w:val="1"/>
                <w:rtl w:val="0"/>
              </w:rPr>
              <w:t xml:space="preserve">Tape Library</w:t>
            </w:r>
          </w:p>
          <w:p w:rsidR="00000000" w:rsidDel="00000000" w:rsidP="00000000" w:rsidRDefault="00000000" w:rsidRPr="00000000" w14:paraId="00000031">
            <w:pPr>
              <w:rPr>
                <w:i w:val="1"/>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Form Factor: 3U</w:t>
            </w:r>
          </w:p>
          <w:p w:rsidR="00000000" w:rsidDel="00000000" w:rsidP="00000000" w:rsidRDefault="00000000" w:rsidRPr="00000000" w14:paraId="00000033">
            <w:pPr>
              <w:rPr/>
            </w:pPr>
            <w:r w:rsidDel="00000000" w:rsidR="00000000" w:rsidRPr="00000000">
              <w:rPr>
                <w:rtl w:val="0"/>
              </w:rPr>
              <w:t xml:space="preserve">Drive: LTO8 Fibre Channel</w:t>
            </w:r>
          </w:p>
          <w:p w:rsidR="00000000" w:rsidDel="00000000" w:rsidP="00000000" w:rsidRDefault="00000000" w:rsidRPr="00000000" w14:paraId="00000034">
            <w:pPr>
              <w:rPr/>
            </w:pPr>
            <w:r w:rsidDel="00000000" w:rsidR="00000000" w:rsidRPr="00000000">
              <w:rPr>
                <w:rtl w:val="0"/>
              </w:rPr>
              <w:t xml:space="preserve">LTO Ultrium cartridge capacity: Min 40</w:t>
            </w:r>
          </w:p>
          <w:p w:rsidR="00000000" w:rsidDel="00000000" w:rsidP="00000000" w:rsidRDefault="00000000" w:rsidRPr="00000000" w14:paraId="00000035">
            <w:pPr>
              <w:rPr/>
            </w:pPr>
            <w:r w:rsidDel="00000000" w:rsidR="00000000" w:rsidRPr="00000000">
              <w:rPr>
                <w:rtl w:val="0"/>
              </w:rPr>
              <w:t xml:space="preserve">Cartridges for I/O slots: Min 5</w:t>
            </w:r>
          </w:p>
          <w:p w:rsidR="00000000" w:rsidDel="00000000" w:rsidP="00000000" w:rsidRDefault="00000000" w:rsidRPr="00000000" w14:paraId="00000036">
            <w:pPr>
              <w:rPr/>
            </w:pPr>
            <w:r w:rsidDel="00000000" w:rsidR="00000000" w:rsidRPr="00000000">
              <w:rPr>
                <w:rtl w:val="0"/>
              </w:rPr>
              <w:t xml:space="preserve">Included tape cartridges: Min 10 LTO 8 Tape cartridges</w:t>
            </w:r>
          </w:p>
          <w:p w:rsidR="00000000" w:rsidDel="00000000" w:rsidP="00000000" w:rsidRDefault="00000000" w:rsidRPr="00000000" w14:paraId="00000037">
            <w:pPr>
              <w:rPr/>
            </w:pPr>
            <w:r w:rsidDel="00000000" w:rsidR="00000000" w:rsidRPr="00000000">
              <w:rPr>
                <w:rtl w:val="0"/>
              </w:rPr>
              <w:t xml:space="preserve">Physical capacity: 12TB native capacity/up to 30TB compressed capacity (LTO8)</w:t>
            </w:r>
          </w:p>
          <w:p w:rsidR="00000000" w:rsidDel="00000000" w:rsidP="00000000" w:rsidRDefault="00000000" w:rsidRPr="00000000" w14:paraId="00000038">
            <w:pPr>
              <w:rPr/>
            </w:pPr>
            <w:r w:rsidDel="00000000" w:rsidR="00000000" w:rsidRPr="00000000">
              <w:rPr>
                <w:rtl w:val="0"/>
              </w:rPr>
              <w:t xml:space="preserve">Logical libraries: 1</w:t>
            </w:r>
          </w:p>
          <w:p w:rsidR="00000000" w:rsidDel="00000000" w:rsidP="00000000" w:rsidRDefault="00000000" w:rsidRPr="00000000" w14:paraId="00000039">
            <w:pPr>
              <w:rPr/>
            </w:pPr>
            <w:r w:rsidDel="00000000" w:rsidR="00000000" w:rsidRPr="00000000">
              <w:rPr>
                <w:rtl w:val="0"/>
              </w:rPr>
              <w:t xml:space="preserve">Network interface: Ethernet</w:t>
            </w:r>
          </w:p>
          <w:p w:rsidR="00000000" w:rsidDel="00000000" w:rsidP="00000000" w:rsidRDefault="00000000" w:rsidRPr="00000000" w14:paraId="0000003A">
            <w:pPr>
              <w:rPr/>
            </w:pPr>
            <w:r w:rsidDel="00000000" w:rsidR="00000000" w:rsidRPr="00000000">
              <w:rPr>
                <w:rtl w:val="0"/>
              </w:rPr>
              <w:t xml:space="preserve">Power supply: 1 standard power supply</w:t>
            </w:r>
          </w:p>
          <w:p w:rsidR="00000000" w:rsidDel="00000000" w:rsidP="00000000" w:rsidRDefault="00000000" w:rsidRPr="00000000" w14:paraId="0000003B">
            <w:pPr>
              <w:rPr/>
            </w:pPr>
            <w:r w:rsidDel="00000000" w:rsidR="00000000" w:rsidRPr="00000000">
              <w:rPr>
                <w:rtl w:val="0"/>
              </w:rPr>
              <w:t xml:space="preserve">Hot-swap components: Power supplies, tape drives</w:t>
            </w:r>
          </w:p>
          <w:p w:rsidR="00000000" w:rsidDel="00000000" w:rsidP="00000000" w:rsidRDefault="00000000" w:rsidRPr="00000000" w14:paraId="0000003C">
            <w:pPr>
              <w:rPr/>
            </w:pPr>
            <w:r w:rsidDel="00000000" w:rsidR="00000000" w:rsidRPr="00000000">
              <w:rPr>
                <w:rtl w:val="0"/>
              </w:rPr>
              <w:t xml:space="preserve">Systems management: Storage Management Initiative Specification (SMI-S) enabled</w:t>
            </w:r>
          </w:p>
          <w:p w:rsidR="00000000" w:rsidDel="00000000" w:rsidP="00000000" w:rsidRDefault="00000000" w:rsidRPr="00000000" w14:paraId="0000003D">
            <w:pPr>
              <w:rPr/>
            </w:pPr>
            <w:r w:rsidDel="00000000" w:rsidR="00000000" w:rsidRPr="00000000">
              <w:rPr>
                <w:rtl w:val="0"/>
              </w:rPr>
              <w:t xml:space="preserve">Operating systems supported: Linux and Microsoft Windows open-system servers</w:t>
            </w:r>
          </w:p>
          <w:p w:rsidR="00000000" w:rsidDel="00000000" w:rsidP="00000000" w:rsidRDefault="00000000" w:rsidRPr="00000000" w14:paraId="0000003E">
            <w:pPr>
              <w:rPr/>
            </w:pPr>
            <w:r w:rsidDel="00000000" w:rsidR="00000000" w:rsidRPr="00000000">
              <w:rPr>
                <w:rtl w:val="0"/>
              </w:rPr>
              <w:t xml:space="preserve">Warranty: 3 year</w:t>
            </w:r>
          </w:p>
          <w:p w:rsidR="00000000" w:rsidDel="00000000" w:rsidP="00000000" w:rsidRDefault="00000000" w:rsidRPr="00000000" w14:paraId="0000003F">
            <w:pPr>
              <w:ind w:left="0" w:firstLine="0"/>
              <w:rPr/>
            </w:pPr>
            <w:r w:rsidDel="00000000" w:rsidR="00000000" w:rsidRPr="00000000">
              <w:rPr>
                <w:rtl w:val="0"/>
              </w:rPr>
            </w:r>
          </w:p>
          <w:p w:rsidR="00000000" w:rsidDel="00000000" w:rsidP="00000000" w:rsidRDefault="00000000" w:rsidRPr="00000000" w14:paraId="00000040">
            <w:pPr>
              <w:rPr/>
            </w:pPr>
            <w:r w:rsidDel="00000000" w:rsidR="00000000" w:rsidRPr="00000000">
              <w:rPr>
                <w:i w:val="1"/>
                <w:rtl w:val="0"/>
              </w:rPr>
              <w:t xml:space="preserve">Reference model is given for the information purpose only and any brand and model complying with the minimum technical specfiication will be accepted</w:t>
            </w:r>
            <w:r w:rsidDel="00000000" w:rsidR="00000000" w:rsidRPr="00000000">
              <w:rPr>
                <w:rtl w:val="0"/>
              </w:rPr>
            </w:r>
          </w:p>
          <w:p w:rsidR="00000000" w:rsidDel="00000000" w:rsidP="00000000" w:rsidRDefault="00000000" w:rsidRPr="00000000" w14:paraId="00000041">
            <w:pPr>
              <w:rPr/>
            </w:pPr>
            <w:r w:rsidDel="00000000" w:rsidR="00000000" w:rsidRPr="00000000">
              <w:rPr>
                <w:i w:val="1"/>
                <w:rtl w:val="0"/>
              </w:rPr>
              <w:t xml:space="preserve">Reference model: DELL PowerVault LTO-8</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42">
            <w:pPr>
              <w:jc w:val="center"/>
              <w:rPr/>
            </w:pPr>
            <w:r w:rsidDel="00000000" w:rsidR="00000000" w:rsidRPr="00000000">
              <w:rPr>
                <w:rtl w:val="0"/>
              </w:rPr>
              <w:t xml:space="preserve">1</w:t>
            </w:r>
          </w:p>
        </w:tc>
      </w:tr>
      <w:tr>
        <w:trPr>
          <w:cantSplit w:val="0"/>
          <w:trHeight w:val="352" w:hRule="atLeast"/>
          <w:tblHeader w:val="0"/>
        </w:trPr>
        <w:tc>
          <w:tcPr>
            <w:tcBorders>
              <w:top w:color="00000a" w:space="0" w:sz="4" w:val="single"/>
              <w:left w:color="00000a" w:space="0" w:sz="4" w:val="single"/>
              <w:bottom w:color="00000a" w:space="0" w:sz="4" w:val="single"/>
              <w:right w:color="00000a" w:space="0" w:sz="4" w:val="single"/>
            </w:tcBorders>
            <w:shd w:fill="ffffff" w:val="clear"/>
            <w:tcMar>
              <w:left w:w="98.0" w:type="dxa"/>
            </w:tcMar>
            <w:vAlign w:val="center"/>
          </w:tcPr>
          <w:p w:rsidR="00000000" w:rsidDel="00000000" w:rsidP="00000000" w:rsidRDefault="00000000" w:rsidRPr="00000000" w14:paraId="00000043">
            <w:pPr>
              <w:jc w:val="center"/>
              <w:rPr/>
            </w:pPr>
            <w:r w:rsidDel="00000000" w:rsidR="00000000" w:rsidRPr="00000000">
              <w:rPr>
                <w:rtl w:val="0"/>
              </w:rPr>
              <w:t xml:space="preserve">3</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44">
            <w:pPr>
              <w:rPr/>
            </w:pPr>
            <w:r w:rsidDel="00000000" w:rsidR="00000000" w:rsidRPr="00000000">
              <w:rPr>
                <w:b w:val="1"/>
                <w:rtl w:val="0"/>
              </w:rPr>
              <w:t xml:space="preserve">HDD For NAS Storage</w:t>
            </w:r>
            <w:r w:rsidDel="00000000" w:rsidR="00000000" w:rsidRPr="00000000">
              <w:rPr>
                <w:rtl w:val="0"/>
              </w:rPr>
            </w:r>
          </w:p>
          <w:p w:rsidR="00000000" w:rsidDel="00000000" w:rsidP="00000000" w:rsidRDefault="00000000" w:rsidRPr="00000000" w14:paraId="00000045">
            <w:pPr>
              <w:rPr>
                <w:i w:val="1"/>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Form Factor: 3.5 in</w:t>
            </w:r>
          </w:p>
          <w:p w:rsidR="00000000" w:rsidDel="00000000" w:rsidP="00000000" w:rsidRDefault="00000000" w:rsidRPr="00000000" w14:paraId="00000047">
            <w:pPr>
              <w:rPr/>
            </w:pPr>
            <w:r w:rsidDel="00000000" w:rsidR="00000000" w:rsidRPr="00000000">
              <w:rPr>
                <w:rtl w:val="0"/>
              </w:rPr>
              <w:t xml:space="preserve">Interface: SATA</w:t>
            </w:r>
          </w:p>
          <w:p w:rsidR="00000000" w:rsidDel="00000000" w:rsidP="00000000" w:rsidRDefault="00000000" w:rsidRPr="00000000" w14:paraId="00000048">
            <w:pPr>
              <w:rPr/>
            </w:pPr>
            <w:r w:rsidDel="00000000" w:rsidR="00000000" w:rsidRPr="00000000">
              <w:rPr>
                <w:rtl w:val="0"/>
              </w:rPr>
              <w:t xml:space="preserve">Capacity: Min 10 TB</w:t>
            </w:r>
          </w:p>
          <w:p w:rsidR="00000000" w:rsidDel="00000000" w:rsidP="00000000" w:rsidRDefault="00000000" w:rsidRPr="00000000" w14:paraId="00000049">
            <w:pPr>
              <w:rPr/>
            </w:pPr>
            <w:r w:rsidDel="00000000" w:rsidR="00000000" w:rsidRPr="00000000">
              <w:rPr>
                <w:rtl w:val="0"/>
              </w:rPr>
              <w:t xml:space="preserve">Rotational Speed: 7200 RPM</w:t>
            </w:r>
          </w:p>
          <w:p w:rsidR="00000000" w:rsidDel="00000000" w:rsidP="00000000" w:rsidRDefault="00000000" w:rsidRPr="00000000" w14:paraId="0000004A">
            <w:pPr>
              <w:rPr/>
            </w:pPr>
            <w:r w:rsidDel="00000000" w:rsidR="00000000" w:rsidRPr="00000000">
              <w:rPr>
                <w:rtl w:val="0"/>
              </w:rPr>
              <w:t xml:space="preserve">Warranty: 1 year</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i w:val="1"/>
              </w:rPr>
            </w:pPr>
            <w:r w:rsidDel="00000000" w:rsidR="00000000" w:rsidRPr="00000000">
              <w:rPr>
                <w:i w:val="1"/>
                <w:rtl w:val="0"/>
              </w:rPr>
              <w:t xml:space="preserve">Reference model is given for the information purpose only and any brand and model complying with the minimum technical specfiication will be accepted</w:t>
            </w:r>
          </w:p>
          <w:p w:rsidR="00000000" w:rsidDel="00000000" w:rsidP="00000000" w:rsidRDefault="00000000" w:rsidRPr="00000000" w14:paraId="0000004D">
            <w:pPr>
              <w:rPr>
                <w:i w:val="1"/>
              </w:rPr>
            </w:pPr>
            <w:r w:rsidDel="00000000" w:rsidR="00000000" w:rsidRPr="00000000">
              <w:rPr>
                <w:i w:val="1"/>
                <w:rtl w:val="0"/>
              </w:rPr>
              <w:t xml:space="preserve">Reference model: WD Red Pro NAS Hard Drive 10 TB WD102KFBX</w:t>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4E">
            <w:pPr>
              <w:jc w:val="center"/>
              <w:rPr/>
            </w:pPr>
            <w:r w:rsidDel="00000000" w:rsidR="00000000" w:rsidRPr="00000000">
              <w:rPr>
                <w:rtl w:val="0"/>
              </w:rPr>
              <w:t xml:space="preserve">2</w:t>
            </w:r>
          </w:p>
        </w:tc>
      </w:tr>
    </w:tbl>
    <w:p w:rsidR="00000000" w:rsidDel="00000000" w:rsidP="00000000" w:rsidRDefault="00000000" w:rsidRPr="00000000" w14:paraId="0000004F">
      <w:pPr>
        <w:spacing w:line="276" w:lineRule="auto"/>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50">
      <w:pPr>
        <w:spacing w:line="276" w:lineRule="auto"/>
        <w:ind w:left="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The bidders should include the following services in the financial offer:</w:t>
      </w:r>
    </w:p>
    <w:p w:rsidR="00000000" w:rsidDel="00000000" w:rsidP="00000000" w:rsidRDefault="00000000" w:rsidRPr="00000000" w14:paraId="00000051">
      <w:pPr>
        <w:spacing w:line="276" w:lineRule="auto"/>
        <w:ind w:left="0" w:firstLine="0"/>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52">
      <w:pPr>
        <w:spacing w:line="276" w:lineRule="auto"/>
        <w:ind w:left="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A) Installing, Connecting and Configuring new Storage Expansion to existing Storage IBM V7000 Gen2</w:t>
      </w:r>
    </w:p>
    <w:p w:rsidR="00000000" w:rsidDel="00000000" w:rsidP="00000000" w:rsidRDefault="00000000" w:rsidRPr="00000000" w14:paraId="00000053">
      <w:pPr>
        <w:spacing w:line="276" w:lineRule="auto"/>
        <w:ind w:left="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1.      Physical installation in rack cabinet</w:t>
      </w:r>
    </w:p>
    <w:p w:rsidR="00000000" w:rsidDel="00000000" w:rsidP="00000000" w:rsidRDefault="00000000" w:rsidRPr="00000000" w14:paraId="00000054">
      <w:pPr>
        <w:spacing w:line="276" w:lineRule="auto"/>
        <w:ind w:left="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2.      Connect to existing Storage and fine tuning</w:t>
      </w:r>
    </w:p>
    <w:p w:rsidR="00000000" w:rsidDel="00000000" w:rsidP="00000000" w:rsidRDefault="00000000" w:rsidRPr="00000000" w14:paraId="00000055">
      <w:pPr>
        <w:spacing w:line="276" w:lineRule="auto"/>
        <w:ind w:left="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3.      Create pools and present to existing equipment</w:t>
      </w:r>
    </w:p>
    <w:p w:rsidR="00000000" w:rsidDel="00000000" w:rsidP="00000000" w:rsidRDefault="00000000" w:rsidRPr="00000000" w14:paraId="00000056">
      <w:pPr>
        <w:spacing w:line="276" w:lineRule="auto"/>
        <w:ind w:left="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4.      Expand existing VMware datastores</w:t>
      </w:r>
    </w:p>
    <w:p w:rsidR="00000000" w:rsidDel="00000000" w:rsidP="00000000" w:rsidRDefault="00000000" w:rsidRPr="00000000" w14:paraId="00000057">
      <w:pPr>
        <w:spacing w:line="276" w:lineRule="auto"/>
        <w:ind w:left="0" w:firstLine="0"/>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58">
      <w:pPr>
        <w:spacing w:line="276" w:lineRule="auto"/>
        <w:ind w:left="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B) Installing and Connecting FC adapter in existing Dell server</w:t>
      </w:r>
    </w:p>
    <w:p w:rsidR="00000000" w:rsidDel="00000000" w:rsidP="00000000" w:rsidRDefault="00000000" w:rsidRPr="00000000" w14:paraId="00000059">
      <w:pPr>
        <w:spacing w:line="276" w:lineRule="auto"/>
        <w:ind w:left="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1.      Physical installation on new FC adapter</w:t>
      </w:r>
    </w:p>
    <w:p w:rsidR="00000000" w:rsidDel="00000000" w:rsidP="00000000" w:rsidRDefault="00000000" w:rsidRPr="00000000" w14:paraId="0000005A">
      <w:pPr>
        <w:spacing w:line="276" w:lineRule="auto"/>
        <w:ind w:left="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2.      Install require drivers for FC adapter for Windows Server operating system</w:t>
      </w:r>
    </w:p>
    <w:p w:rsidR="00000000" w:rsidDel="00000000" w:rsidP="00000000" w:rsidRDefault="00000000" w:rsidRPr="00000000" w14:paraId="0000005B">
      <w:pPr>
        <w:spacing w:line="276" w:lineRule="auto"/>
        <w:ind w:left="0" w:firstLine="0"/>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5C">
      <w:pPr>
        <w:spacing w:line="276" w:lineRule="auto"/>
        <w:ind w:left="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C) Installing, Connecting and Configuring new Tape Library</w:t>
      </w:r>
    </w:p>
    <w:p w:rsidR="00000000" w:rsidDel="00000000" w:rsidP="00000000" w:rsidRDefault="00000000" w:rsidRPr="00000000" w14:paraId="0000005D">
      <w:pPr>
        <w:spacing w:line="276" w:lineRule="auto"/>
        <w:ind w:left="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1.      Physical installation in rack cabinet</w:t>
      </w:r>
    </w:p>
    <w:p w:rsidR="00000000" w:rsidDel="00000000" w:rsidP="00000000" w:rsidRDefault="00000000" w:rsidRPr="00000000" w14:paraId="0000005E">
      <w:pPr>
        <w:spacing w:line="276" w:lineRule="auto"/>
        <w:ind w:left="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2.      FC connection between tape library and backup server</w:t>
      </w:r>
    </w:p>
    <w:p w:rsidR="00000000" w:rsidDel="00000000" w:rsidP="00000000" w:rsidRDefault="00000000" w:rsidRPr="00000000" w14:paraId="0000005F">
      <w:pPr>
        <w:spacing w:line="276" w:lineRule="auto"/>
        <w:ind w:left="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3.      Crete new backup retention policy (we use Veeam Backup and Replication software for backup)</w:t>
      </w:r>
    </w:p>
    <w:p w:rsidR="00000000" w:rsidDel="00000000" w:rsidP="00000000" w:rsidRDefault="00000000" w:rsidRPr="00000000" w14:paraId="00000060">
      <w:pPr>
        <w:spacing w:line="276" w:lineRule="auto"/>
        <w:ind w:left="0" w:firstLine="0"/>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61">
      <w:pPr>
        <w:spacing w:line="276" w:lineRule="auto"/>
        <w:ind w:left="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D) Installing, Configuring and migrating existing data to new Hard Drives</w:t>
      </w:r>
    </w:p>
    <w:p w:rsidR="00000000" w:rsidDel="00000000" w:rsidP="00000000" w:rsidRDefault="00000000" w:rsidRPr="00000000" w14:paraId="00000062">
      <w:pPr>
        <w:spacing w:line="276" w:lineRule="auto"/>
        <w:ind w:left="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1.      Replacing old Hard Drives with new</w:t>
      </w:r>
    </w:p>
    <w:p w:rsidR="00000000" w:rsidDel="00000000" w:rsidP="00000000" w:rsidRDefault="00000000" w:rsidRPr="00000000" w14:paraId="00000063">
      <w:pPr>
        <w:spacing w:line="276" w:lineRule="auto"/>
        <w:ind w:left="0" w:firstLine="0"/>
        <w:rPr>
          <w:rFonts w:ascii="Calibri" w:cs="Calibri" w:eastAsia="Calibri" w:hAnsi="Calibri"/>
          <w:highlight w:val="white"/>
        </w:rPr>
      </w:pPr>
      <w:r w:rsidDel="00000000" w:rsidR="00000000" w:rsidRPr="00000000">
        <w:rPr>
          <w:rFonts w:ascii="Calibri" w:cs="Calibri" w:eastAsia="Calibri" w:hAnsi="Calibri"/>
          <w:highlight w:val="white"/>
          <w:rtl w:val="0"/>
        </w:rPr>
        <w:t xml:space="preserve">2.      Migrate old data to New Hard Drives without losing data</w:t>
      </w:r>
    </w:p>
    <w:p w:rsidR="00000000" w:rsidDel="00000000" w:rsidP="00000000" w:rsidRDefault="00000000" w:rsidRPr="00000000" w14:paraId="00000064">
      <w:pPr>
        <w:ind w:right="-318"/>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65">
      <w:pPr>
        <w:ind w:right="-318"/>
        <w:jc w:val="both"/>
        <w:rPr>
          <w:rFonts w:ascii="Calibri" w:cs="Calibri" w:eastAsia="Calibri" w:hAnsi="Calibri"/>
          <w:b w:val="1"/>
        </w:rPr>
      </w:pPr>
      <w:r w:rsidDel="00000000" w:rsidR="00000000" w:rsidRPr="00000000">
        <w:rPr>
          <w:rFonts w:ascii="Calibri" w:cs="Calibri" w:eastAsia="Calibri" w:hAnsi="Calibri"/>
          <w:b w:val="1"/>
          <w:rtl w:val="0"/>
        </w:rPr>
        <w:t xml:space="preserve">Delivery requirements </w:t>
      </w:r>
      <w:r w:rsidDel="00000000" w:rsidR="00000000" w:rsidRPr="00000000">
        <w:rPr>
          <w:rFonts w:ascii="Calibri" w:cs="Calibri" w:eastAsia="Calibri" w:hAnsi="Calibri"/>
          <w:b w:val="1"/>
          <w:color w:val="000000"/>
          <w:rtl w:val="0"/>
        </w:rPr>
        <w:t xml:space="preserve">–– Comparative Data Table</w:t>
      </w:r>
      <w:r w:rsidDel="00000000" w:rsidR="00000000" w:rsidRPr="00000000">
        <w:rPr>
          <w:rtl w:val="0"/>
        </w:rPr>
      </w:r>
    </w:p>
    <w:p w:rsidR="00000000" w:rsidDel="00000000" w:rsidP="00000000" w:rsidRDefault="00000000" w:rsidRPr="00000000" w14:paraId="00000066">
      <w:pPr>
        <w:rPr>
          <w:rFonts w:ascii="Calibri" w:cs="Calibri" w:eastAsia="Calibri" w:hAnsi="Calibri"/>
          <w:sz w:val="22"/>
          <w:szCs w:val="22"/>
        </w:rPr>
      </w:pPr>
      <w:r w:rsidDel="00000000" w:rsidR="00000000" w:rsidRPr="00000000">
        <w:rPr>
          <w:rtl w:val="0"/>
        </w:rPr>
      </w:r>
    </w:p>
    <w:tbl>
      <w:tblPr>
        <w:tblStyle w:val="Table3"/>
        <w:tblW w:w="9243.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7541"/>
        <w:tblGridChange w:id="0">
          <w:tblGrid>
            <w:gridCol w:w="1702"/>
            <w:gridCol w:w="7541"/>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067">
            <w:pPr>
              <w:jc w:val="center"/>
              <w:rPr>
                <w:b w:val="1"/>
              </w:rPr>
            </w:pPr>
            <w:r w:rsidDel="00000000" w:rsidR="00000000" w:rsidRPr="00000000">
              <w:rPr>
                <w:b w:val="1"/>
                <w:rtl w:val="0"/>
              </w:rPr>
              <w:t xml:space="preserve">UNOPS Requirements</w:t>
            </w:r>
          </w:p>
        </w:tc>
      </w:tr>
      <w:tr>
        <w:trPr>
          <w:cantSplit w:val="0"/>
          <w:trHeight w:val="306" w:hRule="atLeast"/>
          <w:tblHeader w:val="0"/>
        </w:trPr>
        <w:tc>
          <w:tcPr>
            <w:shd w:fill="d9d9d9" w:val="clear"/>
            <w:vAlign w:val="center"/>
          </w:tcPr>
          <w:p w:rsidR="00000000" w:rsidDel="00000000" w:rsidP="00000000" w:rsidRDefault="00000000" w:rsidRPr="00000000" w14:paraId="00000069">
            <w:pPr>
              <w:rPr>
                <w:b w:val="1"/>
              </w:rPr>
            </w:pPr>
            <w:r w:rsidDel="00000000" w:rsidR="00000000" w:rsidRPr="00000000">
              <w:rPr>
                <w:b w:val="1"/>
                <w:rtl w:val="0"/>
              </w:rPr>
              <w:t xml:space="preserve">Delivery time</w:t>
            </w:r>
          </w:p>
        </w:tc>
        <w:tc>
          <w:tcPr>
            <w:vAlign w:val="center"/>
          </w:tcPr>
          <w:p w:rsidR="00000000" w:rsidDel="00000000" w:rsidP="00000000" w:rsidRDefault="00000000" w:rsidRPr="00000000" w14:paraId="0000006A">
            <w:pPr>
              <w:rPr>
                <w:highlight w:val="yellow"/>
              </w:rPr>
            </w:pPr>
            <w:r w:rsidDel="00000000" w:rsidR="00000000" w:rsidRPr="00000000">
              <w:rPr>
                <w:rtl w:val="0"/>
              </w:rPr>
              <w:t xml:space="preserve">Bidder shall deliver the goods in </w:t>
            </w:r>
            <w:r w:rsidDel="00000000" w:rsidR="00000000" w:rsidRPr="00000000">
              <w:rPr>
                <w:b w:val="1"/>
                <w:rtl w:val="0"/>
              </w:rPr>
              <w:t xml:space="preserve">maximum 90 calendar days</w:t>
            </w:r>
            <w:r w:rsidDel="00000000" w:rsidR="00000000" w:rsidRPr="00000000">
              <w:rPr>
                <w:rtl w:val="0"/>
              </w:rPr>
              <w:t xml:space="preserve"> after Contract signature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06B">
            <w:pPr>
              <w:rPr>
                <w:b w:val="1"/>
              </w:rPr>
            </w:pPr>
            <w:r w:rsidDel="00000000" w:rsidR="00000000" w:rsidRPr="00000000">
              <w:rPr>
                <w:b w:val="1"/>
                <w:rtl w:val="0"/>
              </w:rPr>
              <w:t xml:space="preserve">Delivery place and Incoterms rules</w:t>
            </w:r>
          </w:p>
        </w:tc>
        <w:tc>
          <w:tcPr>
            <w:vAlign w:val="center"/>
          </w:tcPr>
          <w:p w:rsidR="00000000" w:rsidDel="00000000" w:rsidP="00000000" w:rsidRDefault="00000000" w:rsidRPr="00000000" w14:paraId="0000006C">
            <w:pPr>
              <w:rPr/>
            </w:pPr>
            <w:r w:rsidDel="00000000" w:rsidR="00000000" w:rsidRPr="00000000">
              <w:rPr>
                <w:rtl w:val="0"/>
              </w:rPr>
              <w:t xml:space="preserve">Net of any direct taxes, customs duties, indirect taxes and VAT.</w:t>
            </w:r>
          </w:p>
          <w:p w:rsidR="00000000" w:rsidDel="00000000" w:rsidP="00000000" w:rsidRDefault="00000000" w:rsidRPr="00000000" w14:paraId="0000006D">
            <w:pPr>
              <w:rPr/>
            </w:pPr>
            <w:r w:rsidDel="00000000" w:rsidR="00000000" w:rsidRPr="00000000">
              <w:rPr>
                <w:rtl w:val="0"/>
              </w:rPr>
              <w:t xml:space="preserve">DAP (Delivered at Place, as per Incoterms 2020): </w:t>
            </w:r>
          </w:p>
          <w:p w:rsidR="00000000" w:rsidDel="00000000" w:rsidP="00000000" w:rsidRDefault="00000000" w:rsidRPr="00000000" w14:paraId="0000006E">
            <w:pPr>
              <w:rPr/>
            </w:pPr>
            <w:r w:rsidDel="00000000" w:rsidR="00000000" w:rsidRPr="00000000">
              <w:rPr>
                <w:rtl w:val="0"/>
              </w:rPr>
              <w:t xml:space="preserve">Transportation and offload of the equipment should be included in the price.</w:t>
            </w:r>
          </w:p>
          <w:p w:rsidR="00000000" w:rsidDel="00000000" w:rsidP="00000000" w:rsidRDefault="00000000" w:rsidRPr="00000000" w14:paraId="0000006F">
            <w:pPr>
              <w:rPr/>
            </w:pPr>
            <w:r w:rsidDel="00000000" w:rsidR="00000000" w:rsidRPr="00000000">
              <w:rPr>
                <w:rtl w:val="0"/>
              </w:rPr>
              <w:t xml:space="preserve">Installation shall be included where needed. </w:t>
            </w:r>
          </w:p>
        </w:tc>
      </w:tr>
      <w:tr>
        <w:trPr>
          <w:cantSplit w:val="0"/>
          <w:trHeight w:val="306" w:hRule="atLeast"/>
          <w:tblHeader w:val="0"/>
        </w:trPr>
        <w:tc>
          <w:tcPr>
            <w:shd w:fill="d9d9d9" w:val="clear"/>
            <w:vAlign w:val="center"/>
          </w:tcPr>
          <w:p w:rsidR="00000000" w:rsidDel="00000000" w:rsidP="00000000" w:rsidRDefault="00000000" w:rsidRPr="00000000" w14:paraId="00000070">
            <w:pPr>
              <w:rPr>
                <w:b w:val="1"/>
              </w:rPr>
            </w:pPr>
            <w:r w:rsidDel="00000000" w:rsidR="00000000" w:rsidRPr="00000000">
              <w:rPr>
                <w:b w:val="1"/>
                <w:rtl w:val="0"/>
              </w:rPr>
              <w:t xml:space="preserve">Consignee details</w:t>
            </w:r>
          </w:p>
        </w:tc>
        <w:tc>
          <w:tcPr>
            <w:vAlign w:val="center"/>
          </w:tcPr>
          <w:p w:rsidR="00000000" w:rsidDel="00000000" w:rsidP="00000000" w:rsidRDefault="00000000" w:rsidRPr="00000000" w14:paraId="00000071">
            <w:pPr>
              <w:rPr/>
            </w:pPr>
            <w:r w:rsidDel="00000000" w:rsidR="00000000" w:rsidRPr="00000000">
              <w:rPr>
                <w:rtl w:val="0"/>
              </w:rPr>
              <w:t xml:space="preserve">Exact addresses will available upon contract signature, but the price should include all costs of delivery, installation and integration where needed in Skopje</w:t>
            </w:r>
          </w:p>
        </w:tc>
      </w:tr>
      <w:tr>
        <w:trPr>
          <w:cantSplit w:val="0"/>
          <w:trHeight w:val="306" w:hRule="atLeast"/>
          <w:tblHeader w:val="0"/>
        </w:trPr>
        <w:tc>
          <w:tcPr>
            <w:shd w:fill="d9d9d9" w:val="clear"/>
            <w:vAlign w:val="center"/>
          </w:tcPr>
          <w:p w:rsidR="00000000" w:rsidDel="00000000" w:rsidP="00000000" w:rsidRDefault="00000000" w:rsidRPr="00000000" w14:paraId="00000072">
            <w:pPr>
              <w:rPr>
                <w:b w:val="1"/>
              </w:rPr>
            </w:pPr>
            <w:r w:rsidDel="00000000" w:rsidR="00000000" w:rsidRPr="00000000">
              <w:rPr>
                <w:b w:val="1"/>
                <w:rtl w:val="0"/>
              </w:rPr>
              <w:t xml:space="preserve">UNOPS Right to vary requirements</w:t>
            </w:r>
          </w:p>
        </w:tc>
        <w:tc>
          <w:tcPr>
            <w:vAlign w:val="center"/>
          </w:tcPr>
          <w:p w:rsidR="00000000" w:rsidDel="00000000" w:rsidP="00000000" w:rsidRDefault="00000000" w:rsidRPr="00000000" w14:paraId="00000073">
            <w:pPr>
              <w:jc w:val="both"/>
              <w:rPr>
                <w:highlight w:val="lightGray"/>
              </w:rPr>
            </w:pPr>
            <w:r w:rsidDel="00000000" w:rsidR="00000000" w:rsidRPr="00000000">
              <w:rPr>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r w:rsidDel="00000000" w:rsidR="00000000" w:rsidRPr="00000000">
              <w:rPr>
                <w:rtl w:val="0"/>
              </w:rPr>
            </w:r>
          </w:p>
        </w:tc>
      </w:tr>
    </w:tbl>
    <w:p w:rsidR="00000000" w:rsidDel="00000000" w:rsidP="00000000" w:rsidRDefault="00000000" w:rsidRPr="00000000" w14:paraId="00000074">
      <w:pPr>
        <w:rPr>
          <w:rFonts w:ascii="Calibri" w:cs="Calibri" w:eastAsia="Calibri" w:hAnsi="Calibri"/>
          <w:b w:val="1"/>
          <w:color w:val="ffffff"/>
        </w:rPr>
      </w:pPr>
      <w:r w:rsidDel="00000000" w:rsidR="00000000" w:rsidRPr="00000000">
        <w:rPr>
          <w:rtl w:val="0"/>
        </w:rPr>
      </w:r>
    </w:p>
    <w:p w:rsidR="00000000" w:rsidDel="00000000" w:rsidP="00000000" w:rsidRDefault="00000000" w:rsidRPr="00000000" w14:paraId="00000075">
      <w:pPr>
        <w:ind w:left="720" w:right="57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76">
      <w:pPr>
        <w:ind w:left="720" w:right="57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77">
      <w:pPr>
        <w:ind w:left="720" w:right="57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78">
      <w:pPr>
        <w:numPr>
          <w:ilvl w:val="0"/>
          <w:numId w:val="1"/>
        </w:numPr>
        <w:ind w:left="720" w:right="570" w:hanging="360"/>
        <w:jc w:val="both"/>
        <w:rPr>
          <w:rFonts w:ascii="Calibri" w:cs="Calibri" w:eastAsia="Calibri" w:hAnsi="Calibri"/>
        </w:rPr>
      </w:pPr>
      <w:r w:rsidDel="00000000" w:rsidR="00000000" w:rsidRPr="00000000">
        <w:rPr>
          <w:rFonts w:ascii="Calibri" w:cs="Calibri" w:eastAsia="Calibri" w:hAnsi="Calibri"/>
          <w:rtl w:val="0"/>
        </w:rPr>
        <w:t xml:space="preserve">All items must be in the original production packaging with product declaration to ensure safe transport and utilization. </w:t>
      </w:r>
    </w:p>
    <w:p w:rsidR="00000000" w:rsidDel="00000000" w:rsidP="00000000" w:rsidRDefault="00000000" w:rsidRPr="00000000" w14:paraId="00000079">
      <w:pPr>
        <w:numPr>
          <w:ilvl w:val="0"/>
          <w:numId w:val="1"/>
        </w:numPr>
        <w:ind w:left="720" w:right="570" w:hanging="360"/>
        <w:jc w:val="both"/>
        <w:rPr>
          <w:rFonts w:ascii="Calibri" w:cs="Calibri" w:eastAsia="Calibri" w:hAnsi="Calibri"/>
        </w:rPr>
      </w:pPr>
      <w:r w:rsidDel="00000000" w:rsidR="00000000" w:rsidRPr="00000000">
        <w:rPr>
          <w:rFonts w:ascii="Calibri" w:cs="Calibri" w:eastAsia="Calibri" w:hAnsi="Calibri"/>
          <w:rtl w:val="0"/>
        </w:rPr>
        <w:t xml:space="preserve">Transportation and offload of the equipment on the contracted location must be included in the price. </w:t>
      </w:r>
    </w:p>
    <w:p w:rsidR="00000000" w:rsidDel="00000000" w:rsidP="00000000" w:rsidRDefault="00000000" w:rsidRPr="00000000" w14:paraId="0000007A">
      <w:pPr>
        <w:numPr>
          <w:ilvl w:val="0"/>
          <w:numId w:val="1"/>
        </w:numPr>
        <w:ind w:left="720" w:right="570" w:hanging="360"/>
        <w:jc w:val="both"/>
        <w:rPr>
          <w:rFonts w:ascii="Calibri" w:cs="Calibri" w:eastAsia="Calibri" w:hAnsi="Calibri"/>
        </w:rPr>
      </w:pPr>
      <w:r w:rsidDel="00000000" w:rsidR="00000000" w:rsidRPr="00000000">
        <w:rPr>
          <w:rFonts w:ascii="Calibri" w:cs="Calibri" w:eastAsia="Calibri" w:hAnsi="Calibri"/>
          <w:rtl w:val="0"/>
        </w:rPr>
        <w:t xml:space="preserve">Suppliers should engage and should cover the costs of custom clearance agencies, if needed. Customs clearance is the responsibility of the Contractor. However, UNOPS will provide, upon request, all necessary documentation to demonstrate that the goods subject of this contract are exempted from custom duties and taxes including VAT.</w:t>
      </w:r>
    </w:p>
    <w:p w:rsidR="00000000" w:rsidDel="00000000" w:rsidP="00000000" w:rsidRDefault="00000000" w:rsidRPr="00000000" w14:paraId="0000007B">
      <w:pPr>
        <w:numPr>
          <w:ilvl w:val="0"/>
          <w:numId w:val="1"/>
        </w:numPr>
        <w:ind w:left="720" w:right="570" w:hanging="360"/>
        <w:jc w:val="both"/>
        <w:rPr>
          <w:rFonts w:ascii="Calibri" w:cs="Calibri" w:eastAsia="Calibri" w:hAnsi="Calibri"/>
        </w:rPr>
      </w:pPr>
      <w:r w:rsidDel="00000000" w:rsidR="00000000" w:rsidRPr="00000000">
        <w:rPr>
          <w:rFonts w:ascii="Calibri" w:cs="Calibri" w:eastAsia="Calibri" w:hAnsi="Calibri"/>
          <w:rtl w:val="0"/>
        </w:rPr>
        <w:t xml:space="preserve">Manufacturer's technical literature submitted with the offer must comply with the written specifications of the Bidder. In the event that there are differences between the submitted manufacturers’ literature and written Bidder specification, reasons for that must be explained in the Bidder specifications. Manufacturer's technical literature (brochures, booklets, instructions, etc.) should be submitted. The manufacturers’ technical literature should be marked in an appropriate manner (i.e. model number). </w:t>
      </w:r>
    </w:p>
    <w:p w:rsidR="00000000" w:rsidDel="00000000" w:rsidP="00000000" w:rsidRDefault="00000000" w:rsidRPr="00000000" w14:paraId="0000007C">
      <w:pPr>
        <w:numPr>
          <w:ilvl w:val="0"/>
          <w:numId w:val="1"/>
        </w:numPr>
        <w:ind w:left="720" w:right="570" w:hanging="360"/>
        <w:jc w:val="both"/>
        <w:rPr>
          <w:rFonts w:ascii="Calibri" w:cs="Calibri" w:eastAsia="Calibri" w:hAnsi="Calibri"/>
        </w:rPr>
      </w:pPr>
      <w:r w:rsidDel="00000000" w:rsidR="00000000" w:rsidRPr="00000000">
        <w:rPr>
          <w:rFonts w:ascii="Calibri" w:cs="Calibri" w:eastAsia="Calibri" w:hAnsi="Calibri"/>
          <w:rtl w:val="0"/>
        </w:rPr>
        <w:t xml:space="preserve">Bidder warrants that offered items are new and unused. Bidder shall further warrant that none of the supplies have any defect arising from design, materials or workmanship.</w:t>
      </w:r>
    </w:p>
    <w:p w:rsidR="00000000" w:rsidDel="00000000" w:rsidP="00000000" w:rsidRDefault="00000000" w:rsidRPr="00000000" w14:paraId="0000007D">
      <w:pPr>
        <w:numPr>
          <w:ilvl w:val="0"/>
          <w:numId w:val="1"/>
        </w:numPr>
        <w:spacing w:after="120" w:lineRule="auto"/>
        <w:ind w:left="720" w:right="570" w:hanging="360"/>
        <w:jc w:val="both"/>
        <w:rPr>
          <w:rFonts w:ascii="Calibri" w:cs="Calibri" w:eastAsia="Calibri" w:hAnsi="Calibri"/>
        </w:rPr>
      </w:pPr>
      <w:r w:rsidDel="00000000" w:rsidR="00000000" w:rsidRPr="00000000">
        <w:rPr>
          <w:rFonts w:ascii="Calibri" w:cs="Calibri" w:eastAsia="Calibri" w:hAnsi="Calibri"/>
          <w:rtl w:val="0"/>
        </w:rPr>
        <w:t xml:space="preserve">Items must be in compliance with the Law on health safety of products for general use in the North Macedonia.</w:t>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570" w:firstLine="0"/>
        <w:jc w:val="both"/>
        <w:rPr>
          <w:rFonts w:ascii="Calibri" w:cs="Calibri" w:eastAsia="Calibri" w:hAnsi="Calibri"/>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3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3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99"/>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98.0" w:type="dxa"/>
        <w:bottom w:w="0.0" w:type="dxa"/>
        <w:right w:w="115.0" w:type="dxa"/>
      </w:tblCellMar>
    </w:tblPr>
  </w:style>
  <w:style w:type="table" w:styleId="Table2">
    <w:basedOn w:val="TableNormal"/>
    <w:tblPr>
      <w:tblStyleRowBandSize w:val="1"/>
      <w:tblStyleColBandSize w:val="1"/>
      <w:tblCellMar>
        <w:top w:w="0.0" w:type="dxa"/>
        <w:left w:w="98.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8Nw+JikQk8IDHQATLkljFe+0VQ==">AMUW2mVdiwFh1Uwv6MhKgTJ84wKay7V2CkLqwgqtHzOKXu5pcvm4ymK3XnAu4T5EuGuYOCIY4CZ4Mbwe6R2e2DwXTe8D8B/cHL3ktwS5xjNQNq3+Mebfyko=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2019-04-04T14:51:00Z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