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3C8EA" w14:textId="77777777" w:rsidR="00BA279F" w:rsidRPr="00AD3363" w:rsidRDefault="00AD3363" w:rsidP="00AD3363">
      <w:pPr>
        <w:rPr>
          <w:b/>
          <w:bCs/>
        </w:rPr>
      </w:pPr>
      <w:r w:rsidRPr="00AD3363">
        <w:rPr>
          <w:b/>
          <w:bCs/>
        </w:rPr>
        <w:t>Inclusive Education for Children on the Move in Emergency Situations (Ecuador) Grant support-call for proposal</w:t>
      </w:r>
    </w:p>
    <w:p w14:paraId="51EF5BD9" w14:textId="77777777" w:rsidR="00AD3363" w:rsidRPr="00AD3363" w:rsidRDefault="00AD3363" w:rsidP="00AD3363">
      <w:pPr>
        <w:rPr>
          <w:b/>
          <w:bCs/>
        </w:rPr>
      </w:pPr>
      <w:r w:rsidRPr="00AD3363">
        <w:rPr>
          <w:b/>
          <w:bCs/>
        </w:rPr>
        <w:t>Reference: 2022/QUITO/ MYRP¨ Active Search</w:t>
      </w:r>
    </w:p>
    <w:p w14:paraId="66A37F6E" w14:textId="77777777" w:rsidR="00AD3363" w:rsidRPr="00AD3363" w:rsidRDefault="00AD3363" w:rsidP="00AD3363">
      <w:pPr>
        <w:rPr>
          <w:b/>
          <w:bCs/>
        </w:rPr>
      </w:pPr>
      <w:r>
        <w:rPr>
          <w:b/>
          <w:bCs/>
        </w:rPr>
        <w:t>QUESTIONS AND ANSWERS</w:t>
      </w:r>
    </w:p>
    <w:tbl>
      <w:tblPr>
        <w:tblStyle w:val="TableGrid"/>
        <w:tblW w:w="5000" w:type="pct"/>
        <w:tblLook w:val="04A0" w:firstRow="1" w:lastRow="0" w:firstColumn="1" w:lastColumn="0" w:noHBand="0" w:noVBand="1"/>
      </w:tblPr>
      <w:tblGrid>
        <w:gridCol w:w="1738"/>
        <w:gridCol w:w="4354"/>
        <w:gridCol w:w="6858"/>
      </w:tblGrid>
      <w:tr w:rsidR="00927BC1" w:rsidRPr="00AD3363" w14:paraId="1AE77599" w14:textId="77777777" w:rsidTr="00927BC1">
        <w:tc>
          <w:tcPr>
            <w:tcW w:w="671" w:type="pct"/>
            <w:vAlign w:val="center"/>
          </w:tcPr>
          <w:p w14:paraId="295C7DF9" w14:textId="77777777" w:rsidR="00927BC1" w:rsidRPr="00AD3363" w:rsidRDefault="00927BC1" w:rsidP="00483CE8">
            <w:pPr>
              <w:rPr>
                <w:b/>
                <w:bCs/>
                <w:sz w:val="18"/>
                <w:szCs w:val="18"/>
              </w:rPr>
            </w:pPr>
            <w:r w:rsidRPr="00AD3363">
              <w:rPr>
                <w:b/>
                <w:bCs/>
                <w:sz w:val="18"/>
                <w:szCs w:val="18"/>
              </w:rPr>
              <w:t>DATE</w:t>
            </w:r>
          </w:p>
        </w:tc>
        <w:tc>
          <w:tcPr>
            <w:tcW w:w="1681" w:type="pct"/>
            <w:vAlign w:val="center"/>
          </w:tcPr>
          <w:p w14:paraId="6F8C4949" w14:textId="77777777" w:rsidR="00927BC1" w:rsidRPr="00AD3363" w:rsidRDefault="00927BC1" w:rsidP="00483CE8">
            <w:pPr>
              <w:rPr>
                <w:b/>
                <w:bCs/>
                <w:sz w:val="18"/>
                <w:szCs w:val="18"/>
              </w:rPr>
            </w:pPr>
            <w:r w:rsidRPr="00AD3363">
              <w:rPr>
                <w:b/>
                <w:bCs/>
                <w:sz w:val="18"/>
                <w:szCs w:val="18"/>
              </w:rPr>
              <w:t>QUESTION</w:t>
            </w:r>
          </w:p>
        </w:tc>
        <w:tc>
          <w:tcPr>
            <w:tcW w:w="2648" w:type="pct"/>
            <w:vAlign w:val="center"/>
          </w:tcPr>
          <w:p w14:paraId="73E45D98" w14:textId="77777777" w:rsidR="00927BC1" w:rsidRPr="00AD3363" w:rsidRDefault="00927BC1" w:rsidP="00483CE8">
            <w:pPr>
              <w:rPr>
                <w:b/>
                <w:bCs/>
                <w:sz w:val="18"/>
                <w:szCs w:val="18"/>
              </w:rPr>
            </w:pPr>
            <w:r w:rsidRPr="00AD3363">
              <w:rPr>
                <w:b/>
                <w:bCs/>
                <w:sz w:val="18"/>
                <w:szCs w:val="18"/>
              </w:rPr>
              <w:t>ANSWER</w:t>
            </w:r>
          </w:p>
        </w:tc>
      </w:tr>
      <w:tr w:rsidR="00927BC1" w:rsidRPr="00AD3363" w14:paraId="50104F13" w14:textId="77777777" w:rsidTr="00927BC1">
        <w:tc>
          <w:tcPr>
            <w:tcW w:w="671" w:type="pct"/>
            <w:vAlign w:val="center"/>
          </w:tcPr>
          <w:p w14:paraId="3C973F48" w14:textId="77777777" w:rsidR="00927BC1" w:rsidRPr="00AD3363" w:rsidRDefault="00927BC1" w:rsidP="00483CE8">
            <w:pPr>
              <w:rPr>
                <w:sz w:val="18"/>
                <w:szCs w:val="18"/>
              </w:rPr>
            </w:pPr>
            <w:r>
              <w:rPr>
                <w:sz w:val="18"/>
                <w:szCs w:val="18"/>
              </w:rPr>
              <w:t>15/07/2022</w:t>
            </w:r>
          </w:p>
        </w:tc>
        <w:tc>
          <w:tcPr>
            <w:tcW w:w="1681" w:type="pct"/>
            <w:vAlign w:val="center"/>
          </w:tcPr>
          <w:p w14:paraId="33456E68" w14:textId="77777777" w:rsidR="00927BC1" w:rsidRPr="00AD3363" w:rsidRDefault="00927BC1" w:rsidP="00483CE8">
            <w:pPr>
              <w:rPr>
                <w:sz w:val="18"/>
                <w:szCs w:val="18"/>
              </w:rPr>
            </w:pPr>
          </w:p>
          <w:p w14:paraId="09A947F4" w14:textId="187E4952" w:rsidR="00927BC1" w:rsidRPr="00AD3363" w:rsidRDefault="00927BC1" w:rsidP="00483CE8">
            <w:pPr>
              <w:rPr>
                <w:sz w:val="18"/>
                <w:szCs w:val="18"/>
              </w:rPr>
            </w:pPr>
            <w:r w:rsidRPr="00AD3363">
              <w:rPr>
                <w:sz w:val="18"/>
                <w:szCs w:val="18"/>
              </w:rPr>
              <w:t>Does UNESCO accept 7% of overhead within the Project?</w:t>
            </w:r>
          </w:p>
          <w:p w14:paraId="3E3A09A6" w14:textId="77777777" w:rsidR="00927BC1" w:rsidRPr="00AD3363" w:rsidRDefault="00927BC1" w:rsidP="00483CE8">
            <w:pPr>
              <w:rPr>
                <w:sz w:val="18"/>
                <w:szCs w:val="18"/>
              </w:rPr>
            </w:pPr>
          </w:p>
          <w:p w14:paraId="5390ED03" w14:textId="77777777" w:rsidR="00927BC1" w:rsidRPr="00AD3363" w:rsidRDefault="00927BC1" w:rsidP="00483CE8">
            <w:pPr>
              <w:rPr>
                <w:sz w:val="18"/>
                <w:szCs w:val="18"/>
              </w:rPr>
            </w:pPr>
            <w:r w:rsidRPr="00AD3363">
              <w:rPr>
                <w:sz w:val="18"/>
                <w:szCs w:val="18"/>
              </w:rPr>
              <w:t xml:space="preserve">We pose this question according to the point number VI published in the call: </w:t>
            </w:r>
          </w:p>
          <w:p w14:paraId="79E15F68" w14:textId="77777777" w:rsidR="00927BC1" w:rsidRPr="00AD3363" w:rsidRDefault="00927BC1" w:rsidP="00483CE8">
            <w:pPr>
              <w:rPr>
                <w:sz w:val="18"/>
                <w:szCs w:val="18"/>
              </w:rPr>
            </w:pPr>
          </w:p>
          <w:p w14:paraId="56161862" w14:textId="67B27D9D" w:rsidR="00927BC1" w:rsidRPr="00AD3363" w:rsidRDefault="00927BC1" w:rsidP="00483CE8">
            <w:pPr>
              <w:rPr>
                <w:sz w:val="18"/>
                <w:szCs w:val="18"/>
              </w:rPr>
            </w:pPr>
            <w:r w:rsidRPr="00AD3363">
              <w:rPr>
                <w:sz w:val="18"/>
                <w:szCs w:val="18"/>
              </w:rPr>
              <w:t>      </w:t>
            </w:r>
            <w:r>
              <w:rPr>
                <w:sz w:val="18"/>
                <w:szCs w:val="18"/>
              </w:rPr>
              <w:t>”</w:t>
            </w:r>
            <w:r w:rsidRPr="00AD3363">
              <w:rPr>
                <w:sz w:val="18"/>
                <w:szCs w:val="18"/>
              </w:rPr>
              <w:t xml:space="preserve"> The partner’s financial or in- kind contribution will be indicated in the budget proposal. No        overheads in terms of administrative or service fees are accepted (direct budgeting based on activities)</w:t>
            </w:r>
            <w:r>
              <w:rPr>
                <w:sz w:val="18"/>
                <w:szCs w:val="18"/>
              </w:rPr>
              <w:t>”</w:t>
            </w:r>
            <w:r w:rsidRPr="00AD3363">
              <w:rPr>
                <w:sz w:val="18"/>
                <w:szCs w:val="18"/>
              </w:rPr>
              <w:t>.</w:t>
            </w:r>
          </w:p>
          <w:p w14:paraId="28B24E54" w14:textId="77777777" w:rsidR="00927BC1" w:rsidRPr="00AD3363" w:rsidRDefault="00927BC1" w:rsidP="00483CE8">
            <w:pPr>
              <w:rPr>
                <w:sz w:val="18"/>
                <w:szCs w:val="18"/>
              </w:rPr>
            </w:pPr>
          </w:p>
          <w:p w14:paraId="380D56D9" w14:textId="4BCE7D42" w:rsidR="00927BC1" w:rsidRPr="00AD3363" w:rsidRDefault="00927BC1" w:rsidP="00483CE8">
            <w:pPr>
              <w:rPr>
                <w:sz w:val="18"/>
                <w:szCs w:val="18"/>
              </w:rPr>
            </w:pPr>
          </w:p>
        </w:tc>
        <w:tc>
          <w:tcPr>
            <w:tcW w:w="2648" w:type="pct"/>
            <w:vAlign w:val="center"/>
          </w:tcPr>
          <w:p w14:paraId="3A79121D" w14:textId="62BA0E59" w:rsidR="00927BC1" w:rsidRPr="00AD3363" w:rsidRDefault="00927BC1" w:rsidP="00483CE8">
            <w:pPr>
              <w:rPr>
                <w:sz w:val="18"/>
                <w:szCs w:val="18"/>
              </w:rPr>
            </w:pPr>
            <w:r w:rsidRPr="00AD3363">
              <w:rPr>
                <w:sz w:val="18"/>
                <w:szCs w:val="18"/>
              </w:rPr>
              <w:t>In point VI. BUDGET SIZE AND DURATION, paragraph 2, of the Call for Parternship, it is specified that no costs of overhead are accepted:</w:t>
            </w:r>
          </w:p>
          <w:p w14:paraId="51B8A825" w14:textId="77777777" w:rsidR="00927BC1" w:rsidRPr="00C301B0" w:rsidRDefault="00927BC1" w:rsidP="00483CE8">
            <w:pPr>
              <w:rPr>
                <w:i/>
                <w:iCs/>
                <w:sz w:val="18"/>
                <w:szCs w:val="18"/>
              </w:rPr>
            </w:pPr>
            <w:r w:rsidRPr="00C301B0">
              <w:rPr>
                <w:i/>
                <w:iCs/>
                <w:sz w:val="18"/>
                <w:szCs w:val="18"/>
              </w:rPr>
              <w:t xml:space="preserve">¨Regarding the budget of the technical proposal of the partner, UNESCO retains the right to elaborate the work plan and negotiate the budget with the partner, prior to signing agreement, to ensure value of money. Likewise, UNESCO will ensure that in accordance with its policies the selected Partner will be able to provide added value in terms of financial or in-kind contribution. The partner’s financial or in- kind contribution will be indicated in the budget proposal. </w:t>
            </w:r>
            <w:r w:rsidRPr="00C301B0">
              <w:rPr>
                <w:i/>
                <w:iCs/>
                <w:sz w:val="18"/>
                <w:szCs w:val="18"/>
                <w:highlight w:val="yellow"/>
              </w:rPr>
              <w:t>No overheads in terms of administrative or service fees are accepted (direct budgeting based on activities</w:t>
            </w:r>
            <w:proofErr w:type="gramStart"/>
            <w:r w:rsidRPr="00C301B0">
              <w:rPr>
                <w:i/>
                <w:iCs/>
                <w:sz w:val="18"/>
                <w:szCs w:val="18"/>
                <w:highlight w:val="yellow"/>
              </w:rPr>
              <w:t>).¨</w:t>
            </w:r>
            <w:proofErr w:type="gramEnd"/>
          </w:p>
          <w:p w14:paraId="34176377" w14:textId="77777777" w:rsidR="00927BC1" w:rsidRPr="00AD3363" w:rsidRDefault="00927BC1" w:rsidP="00483CE8">
            <w:pPr>
              <w:rPr>
                <w:sz w:val="18"/>
                <w:szCs w:val="18"/>
              </w:rPr>
            </w:pPr>
            <w:r w:rsidRPr="00AD3363">
              <w:rPr>
                <w:sz w:val="18"/>
                <w:szCs w:val="18"/>
              </w:rPr>
              <w:t xml:space="preserve">Additionally, the policy of Implementation Partner Agreements (IPA) refers the following: </w:t>
            </w:r>
          </w:p>
          <w:p w14:paraId="004FA5C6" w14:textId="77777777" w:rsidR="00927BC1" w:rsidRPr="00C301B0" w:rsidRDefault="00927BC1" w:rsidP="00483CE8">
            <w:pPr>
              <w:rPr>
                <w:i/>
                <w:iCs/>
                <w:sz w:val="18"/>
                <w:szCs w:val="18"/>
              </w:rPr>
            </w:pPr>
            <w:r w:rsidRPr="00C301B0">
              <w:rPr>
                <w:i/>
                <w:iCs/>
                <w:sz w:val="18"/>
                <w:szCs w:val="18"/>
              </w:rPr>
              <w:t>“Implementation Partners’ Agreements’ budgets should only include financial provisions for activities that are directly relevant to the attainment of the agreement’s objectives. The administrative costs (</w:t>
            </w:r>
            <w:proofErr w:type="gramStart"/>
            <w:r w:rsidRPr="00C301B0">
              <w:rPr>
                <w:i/>
                <w:iCs/>
                <w:sz w:val="18"/>
                <w:szCs w:val="18"/>
              </w:rPr>
              <w:t>e.g.</w:t>
            </w:r>
            <w:proofErr w:type="gramEnd"/>
            <w:r w:rsidRPr="00C301B0">
              <w:rPr>
                <w:i/>
                <w:iCs/>
                <w:sz w:val="18"/>
                <w:szCs w:val="18"/>
              </w:rPr>
              <w:t xml:space="preserve"> managing, monitoring, preparing substantive and financial reports etc.) associated with Implementation Partners’ Agreements should be borne by the partner”.</w:t>
            </w:r>
          </w:p>
          <w:p w14:paraId="0A9752BB" w14:textId="128F152F" w:rsidR="00927BC1" w:rsidRPr="00AD3363" w:rsidRDefault="00927BC1" w:rsidP="00483CE8">
            <w:pPr>
              <w:rPr>
                <w:sz w:val="18"/>
                <w:szCs w:val="18"/>
              </w:rPr>
            </w:pPr>
            <w:r w:rsidRPr="00AD3363">
              <w:rPr>
                <w:sz w:val="18"/>
                <w:szCs w:val="18"/>
              </w:rPr>
              <w:t xml:space="preserve">For the previously mentioned reasons, for this call, 7% or other values for concept of overhead/indirect costs won´t </w:t>
            </w:r>
            <w:r>
              <w:rPr>
                <w:sz w:val="18"/>
                <w:szCs w:val="18"/>
              </w:rPr>
              <w:t xml:space="preserve">be </w:t>
            </w:r>
            <w:r w:rsidRPr="00AD3363">
              <w:rPr>
                <w:sz w:val="18"/>
                <w:szCs w:val="18"/>
              </w:rPr>
              <w:t>accepted.</w:t>
            </w:r>
          </w:p>
          <w:p w14:paraId="3D1E5785" w14:textId="2A750866" w:rsidR="00927BC1" w:rsidRPr="00AD3363" w:rsidRDefault="00927BC1" w:rsidP="00483CE8">
            <w:pPr>
              <w:rPr>
                <w:sz w:val="18"/>
                <w:szCs w:val="18"/>
              </w:rPr>
            </w:pPr>
          </w:p>
        </w:tc>
      </w:tr>
      <w:tr w:rsidR="00927BC1" w:rsidRPr="00AD3363" w14:paraId="6B0C04FE" w14:textId="77777777" w:rsidTr="00927BC1">
        <w:tc>
          <w:tcPr>
            <w:tcW w:w="671" w:type="pct"/>
            <w:vAlign w:val="center"/>
          </w:tcPr>
          <w:p w14:paraId="1CB669DD" w14:textId="77777777" w:rsidR="00927BC1" w:rsidRPr="00AD3363" w:rsidRDefault="00927BC1" w:rsidP="00483CE8">
            <w:pPr>
              <w:rPr>
                <w:sz w:val="18"/>
                <w:szCs w:val="18"/>
              </w:rPr>
            </w:pPr>
            <w:r>
              <w:rPr>
                <w:sz w:val="18"/>
                <w:szCs w:val="18"/>
              </w:rPr>
              <w:t>15/07/2022</w:t>
            </w:r>
          </w:p>
        </w:tc>
        <w:tc>
          <w:tcPr>
            <w:tcW w:w="1681" w:type="pct"/>
            <w:vAlign w:val="center"/>
          </w:tcPr>
          <w:p w14:paraId="5E38E376" w14:textId="705B31C6" w:rsidR="00927BC1" w:rsidRPr="00AD3363" w:rsidRDefault="00927BC1" w:rsidP="00483CE8">
            <w:pPr>
              <w:rPr>
                <w:sz w:val="18"/>
                <w:szCs w:val="18"/>
              </w:rPr>
            </w:pPr>
            <w:r>
              <w:rPr>
                <w:sz w:val="18"/>
                <w:szCs w:val="18"/>
              </w:rPr>
              <w:t xml:space="preserve">Can </w:t>
            </w:r>
            <w:r w:rsidRPr="00AD3363">
              <w:rPr>
                <w:sz w:val="18"/>
                <w:szCs w:val="18"/>
              </w:rPr>
              <w:t>United Nations organizations apply?  The description says “non-for-profit International and National Educational partners”</w:t>
            </w:r>
            <w:r>
              <w:rPr>
                <w:sz w:val="18"/>
                <w:szCs w:val="18"/>
              </w:rPr>
              <w:t>,</w:t>
            </w:r>
            <w:r w:rsidRPr="00AD3363">
              <w:rPr>
                <w:sz w:val="18"/>
                <w:szCs w:val="18"/>
              </w:rPr>
              <w:t xml:space="preserve"> but </w:t>
            </w:r>
            <w:r>
              <w:rPr>
                <w:sz w:val="18"/>
                <w:szCs w:val="18"/>
              </w:rPr>
              <w:t xml:space="preserve">it is not clear </w:t>
            </w:r>
            <w:r w:rsidRPr="00AD3363">
              <w:rPr>
                <w:sz w:val="18"/>
                <w:szCs w:val="18"/>
              </w:rPr>
              <w:t>whether</w:t>
            </w:r>
            <w:r>
              <w:rPr>
                <w:sz w:val="18"/>
                <w:szCs w:val="18"/>
              </w:rPr>
              <w:t xml:space="preserve"> this</w:t>
            </w:r>
            <w:r w:rsidRPr="00AD3363">
              <w:rPr>
                <w:sz w:val="18"/>
                <w:szCs w:val="18"/>
              </w:rPr>
              <w:t xml:space="preserve"> excludes </w:t>
            </w:r>
            <w:r>
              <w:rPr>
                <w:sz w:val="18"/>
                <w:szCs w:val="18"/>
              </w:rPr>
              <w:t xml:space="preserve">UN </w:t>
            </w:r>
            <w:r w:rsidRPr="00AD3363">
              <w:rPr>
                <w:sz w:val="18"/>
                <w:szCs w:val="18"/>
              </w:rPr>
              <w:t>agencies.</w:t>
            </w:r>
          </w:p>
          <w:p w14:paraId="7F9C6FCB" w14:textId="70EC3507" w:rsidR="00927BC1" w:rsidRPr="00AD3363" w:rsidRDefault="00927BC1" w:rsidP="00C301B0">
            <w:pPr>
              <w:rPr>
                <w:sz w:val="18"/>
                <w:szCs w:val="18"/>
              </w:rPr>
            </w:pPr>
          </w:p>
        </w:tc>
        <w:tc>
          <w:tcPr>
            <w:tcW w:w="2648" w:type="pct"/>
            <w:vAlign w:val="center"/>
          </w:tcPr>
          <w:p w14:paraId="6CE43EEB" w14:textId="1B2F9AE5" w:rsidR="00927BC1" w:rsidRPr="00AD3363" w:rsidRDefault="00927BC1" w:rsidP="00483CE8">
            <w:pPr>
              <w:rPr>
                <w:sz w:val="18"/>
                <w:szCs w:val="18"/>
              </w:rPr>
            </w:pPr>
            <w:r>
              <w:rPr>
                <w:sz w:val="18"/>
                <w:szCs w:val="18"/>
              </w:rPr>
              <w:t xml:space="preserve">Yes, </w:t>
            </w:r>
            <w:r w:rsidRPr="00AD3363">
              <w:rPr>
                <w:sz w:val="18"/>
                <w:szCs w:val="18"/>
              </w:rPr>
              <w:t xml:space="preserve">United Nations Organizations can apply. </w:t>
            </w:r>
          </w:p>
          <w:p w14:paraId="0B4EADEB" w14:textId="4CF7EF50" w:rsidR="00927BC1" w:rsidRPr="00AD3363" w:rsidRDefault="00927BC1" w:rsidP="0005466B">
            <w:pPr>
              <w:rPr>
                <w:sz w:val="18"/>
                <w:szCs w:val="18"/>
              </w:rPr>
            </w:pPr>
            <w:r w:rsidRPr="00AD3363">
              <w:rPr>
                <w:sz w:val="18"/>
                <w:szCs w:val="18"/>
              </w:rPr>
              <w:t>The following is the extract of the policy tha</w:t>
            </w:r>
            <w:r>
              <w:rPr>
                <w:sz w:val="18"/>
                <w:szCs w:val="18"/>
              </w:rPr>
              <w:t>t</w:t>
            </w:r>
            <w:r w:rsidRPr="00AD3363">
              <w:rPr>
                <w:sz w:val="18"/>
                <w:szCs w:val="18"/>
              </w:rPr>
              <w:t xml:space="preserve"> answers the question: 3.2 Eligibility of partners Implementation Partners' Agreements are open only to not-for-profit organizations, including but not limited to: non-governmental organizations (NGOs), research institutes, universities, foundations, professional associations, governments, governmental entities and intergovernmental organizations. United Nations entities are also eligible. </w:t>
            </w:r>
          </w:p>
          <w:p w14:paraId="623A20DF" w14:textId="40DB81DC" w:rsidR="00927BC1" w:rsidRPr="00AD3363" w:rsidRDefault="00927BC1" w:rsidP="00C301B0">
            <w:pPr>
              <w:rPr>
                <w:sz w:val="18"/>
                <w:szCs w:val="18"/>
              </w:rPr>
            </w:pPr>
          </w:p>
        </w:tc>
      </w:tr>
      <w:tr w:rsidR="00927BC1" w:rsidRPr="00AD3363" w14:paraId="7CA5870E" w14:textId="77777777" w:rsidTr="00927BC1">
        <w:tc>
          <w:tcPr>
            <w:tcW w:w="671" w:type="pct"/>
            <w:vAlign w:val="center"/>
          </w:tcPr>
          <w:p w14:paraId="47287963" w14:textId="77777777" w:rsidR="00927BC1" w:rsidRPr="00AD3363" w:rsidRDefault="00927BC1" w:rsidP="00483CE8">
            <w:pPr>
              <w:rPr>
                <w:sz w:val="18"/>
                <w:szCs w:val="18"/>
              </w:rPr>
            </w:pPr>
            <w:r>
              <w:rPr>
                <w:sz w:val="18"/>
                <w:szCs w:val="18"/>
              </w:rPr>
              <w:t>24/07/2022</w:t>
            </w:r>
          </w:p>
        </w:tc>
        <w:tc>
          <w:tcPr>
            <w:tcW w:w="1681" w:type="pct"/>
            <w:vAlign w:val="center"/>
          </w:tcPr>
          <w:p w14:paraId="502D2E03" w14:textId="370BDF51" w:rsidR="00927BC1" w:rsidRPr="00AD3363" w:rsidRDefault="00927BC1" w:rsidP="00483CE8">
            <w:pPr>
              <w:rPr>
                <w:sz w:val="18"/>
                <w:szCs w:val="18"/>
              </w:rPr>
            </w:pPr>
            <w:r>
              <w:rPr>
                <w:sz w:val="18"/>
                <w:szCs w:val="18"/>
              </w:rPr>
              <w:t>Which</w:t>
            </w:r>
            <w:r w:rsidRPr="00AD3363">
              <w:rPr>
                <w:sz w:val="18"/>
                <w:szCs w:val="18"/>
              </w:rPr>
              <w:t xml:space="preserve"> are the requirements to apply as well as the terms of reference for the request for bids</w:t>
            </w:r>
            <w:r>
              <w:rPr>
                <w:sz w:val="18"/>
                <w:szCs w:val="18"/>
              </w:rPr>
              <w:t>?</w:t>
            </w:r>
          </w:p>
          <w:p w14:paraId="6724C7B2" w14:textId="77777777" w:rsidR="00927BC1" w:rsidRPr="00AD3363" w:rsidRDefault="00927BC1" w:rsidP="008E1FFE">
            <w:pPr>
              <w:rPr>
                <w:sz w:val="18"/>
                <w:szCs w:val="18"/>
              </w:rPr>
            </w:pPr>
          </w:p>
        </w:tc>
        <w:tc>
          <w:tcPr>
            <w:tcW w:w="2648" w:type="pct"/>
            <w:vAlign w:val="center"/>
          </w:tcPr>
          <w:p w14:paraId="775DF7A7" w14:textId="1F32F917" w:rsidR="00927BC1" w:rsidRPr="00AD3363" w:rsidRDefault="00927BC1" w:rsidP="00483CE8">
            <w:pPr>
              <w:rPr>
                <w:sz w:val="18"/>
                <w:szCs w:val="18"/>
              </w:rPr>
            </w:pPr>
            <w:r>
              <w:rPr>
                <w:sz w:val="18"/>
                <w:szCs w:val="18"/>
              </w:rPr>
              <w:t>Kindly</w:t>
            </w:r>
            <w:r w:rsidRPr="00AD3363">
              <w:rPr>
                <w:sz w:val="18"/>
                <w:szCs w:val="18"/>
              </w:rPr>
              <w:t xml:space="preserve"> review the details of the call </w:t>
            </w:r>
            <w:r>
              <w:rPr>
                <w:sz w:val="18"/>
                <w:szCs w:val="18"/>
              </w:rPr>
              <w:t xml:space="preserve">for partnership </w:t>
            </w:r>
            <w:r w:rsidRPr="00AD3363">
              <w:rPr>
                <w:sz w:val="18"/>
                <w:szCs w:val="18"/>
              </w:rPr>
              <w:t>at the following link: (</w:t>
            </w:r>
            <w:hyperlink r:id="rId9" w:history="1">
              <w:r w:rsidRPr="00AD3363">
                <w:rPr>
                  <w:rStyle w:val="Hyperlink"/>
                  <w:sz w:val="18"/>
                  <w:szCs w:val="18"/>
                </w:rPr>
                <w:t>https://www.ungm.org/Public/Notice/177893</w:t>
              </w:r>
            </w:hyperlink>
            <w:r w:rsidRPr="00AD3363">
              <w:rPr>
                <w:sz w:val="18"/>
                <w:szCs w:val="18"/>
              </w:rPr>
              <w:t>)</w:t>
            </w:r>
            <w:r>
              <w:rPr>
                <w:sz w:val="18"/>
                <w:szCs w:val="18"/>
              </w:rPr>
              <w:t>; such a link</w:t>
            </w:r>
            <w:r w:rsidRPr="00AD3363">
              <w:rPr>
                <w:sz w:val="18"/>
                <w:szCs w:val="18"/>
              </w:rPr>
              <w:t xml:space="preserve"> contains all the required information </w:t>
            </w:r>
            <w:r>
              <w:rPr>
                <w:sz w:val="18"/>
                <w:szCs w:val="18"/>
              </w:rPr>
              <w:t>under</w:t>
            </w:r>
            <w:r w:rsidRPr="00AD3363">
              <w:rPr>
                <w:sz w:val="18"/>
                <w:szCs w:val="18"/>
              </w:rPr>
              <w:t xml:space="preserve"> the </w:t>
            </w:r>
            <w:r>
              <w:rPr>
                <w:sz w:val="18"/>
                <w:szCs w:val="18"/>
              </w:rPr>
              <w:t>“</w:t>
            </w:r>
            <w:r w:rsidRPr="00AD3363">
              <w:rPr>
                <w:sz w:val="18"/>
                <w:szCs w:val="18"/>
              </w:rPr>
              <w:t>Documents</w:t>
            </w:r>
            <w:r>
              <w:rPr>
                <w:sz w:val="18"/>
                <w:szCs w:val="18"/>
              </w:rPr>
              <w:t>”</w:t>
            </w:r>
            <w:r w:rsidRPr="00AD3363">
              <w:rPr>
                <w:sz w:val="18"/>
                <w:szCs w:val="18"/>
              </w:rPr>
              <w:t xml:space="preserve"> tab. </w:t>
            </w:r>
          </w:p>
          <w:p w14:paraId="196CC3F0" w14:textId="77777777" w:rsidR="00927BC1" w:rsidRPr="00AD3363" w:rsidRDefault="00927BC1">
            <w:pPr>
              <w:rPr>
                <w:sz w:val="18"/>
                <w:szCs w:val="18"/>
              </w:rPr>
            </w:pPr>
          </w:p>
        </w:tc>
      </w:tr>
      <w:tr w:rsidR="00927BC1" w:rsidRPr="0005466B" w14:paraId="415D7DD9" w14:textId="77777777" w:rsidTr="00927BC1">
        <w:tc>
          <w:tcPr>
            <w:tcW w:w="671" w:type="pct"/>
            <w:vAlign w:val="center"/>
          </w:tcPr>
          <w:p w14:paraId="753B1F1E" w14:textId="77777777" w:rsidR="00927BC1" w:rsidRPr="00AD3363" w:rsidRDefault="00927BC1" w:rsidP="00483CE8">
            <w:pPr>
              <w:rPr>
                <w:sz w:val="18"/>
                <w:szCs w:val="18"/>
              </w:rPr>
            </w:pPr>
            <w:r>
              <w:rPr>
                <w:sz w:val="18"/>
                <w:szCs w:val="18"/>
              </w:rPr>
              <w:t>25/07/2022</w:t>
            </w:r>
          </w:p>
        </w:tc>
        <w:tc>
          <w:tcPr>
            <w:tcW w:w="1681" w:type="pct"/>
            <w:vAlign w:val="center"/>
          </w:tcPr>
          <w:p w14:paraId="6AFE92D1" w14:textId="149452D6" w:rsidR="00927BC1" w:rsidRPr="00AD3363" w:rsidRDefault="00927BC1" w:rsidP="0005466B">
            <w:pPr>
              <w:rPr>
                <w:sz w:val="18"/>
                <w:szCs w:val="18"/>
              </w:rPr>
            </w:pPr>
            <w:r>
              <w:rPr>
                <w:sz w:val="18"/>
                <w:szCs w:val="18"/>
              </w:rPr>
              <w:t>Please find our enquiries below</w:t>
            </w:r>
            <w:r w:rsidRPr="00AD3363">
              <w:rPr>
                <w:sz w:val="18"/>
                <w:szCs w:val="18"/>
              </w:rPr>
              <w:t>:</w:t>
            </w:r>
          </w:p>
          <w:p w14:paraId="435345CD" w14:textId="193A8B40" w:rsidR="00927BC1" w:rsidRPr="00AD3363" w:rsidRDefault="00927BC1" w:rsidP="0005466B">
            <w:pPr>
              <w:rPr>
                <w:sz w:val="18"/>
                <w:szCs w:val="18"/>
              </w:rPr>
            </w:pPr>
            <w:r w:rsidRPr="00AD3363">
              <w:rPr>
                <w:sz w:val="18"/>
                <w:szCs w:val="18"/>
              </w:rPr>
              <w:t xml:space="preserve">1. </w:t>
            </w:r>
            <w:r>
              <w:rPr>
                <w:sz w:val="18"/>
                <w:szCs w:val="18"/>
              </w:rPr>
              <w:t>Can proposals be submitted in Spanish?</w:t>
            </w:r>
          </w:p>
          <w:p w14:paraId="1A2568E2" w14:textId="77777777" w:rsidR="00927BC1" w:rsidRPr="00AD3363" w:rsidRDefault="00927BC1" w:rsidP="00483CE8">
            <w:pPr>
              <w:rPr>
                <w:sz w:val="18"/>
                <w:szCs w:val="18"/>
              </w:rPr>
            </w:pPr>
          </w:p>
          <w:p w14:paraId="283570CF" w14:textId="31FB266C" w:rsidR="00927BC1" w:rsidRPr="00AD3363" w:rsidRDefault="00927BC1" w:rsidP="00483CE8">
            <w:pPr>
              <w:rPr>
                <w:sz w:val="18"/>
                <w:szCs w:val="18"/>
              </w:rPr>
            </w:pPr>
            <w:r w:rsidRPr="00AD3363">
              <w:rPr>
                <w:sz w:val="18"/>
                <w:szCs w:val="18"/>
              </w:rPr>
              <w:t>2. Regarding point VI., of the Call for Partnerships, could</w:t>
            </w:r>
            <w:r>
              <w:rPr>
                <w:sz w:val="18"/>
                <w:szCs w:val="18"/>
              </w:rPr>
              <w:t xml:space="preserve"> you please</w:t>
            </w:r>
            <w:r w:rsidRPr="00AD3363">
              <w:rPr>
                <w:sz w:val="18"/>
                <w:szCs w:val="18"/>
              </w:rPr>
              <w:t xml:space="preserve"> indicate the format or the instructions to </w:t>
            </w:r>
            <w:r w:rsidRPr="00AD3363">
              <w:rPr>
                <w:sz w:val="18"/>
                <w:szCs w:val="18"/>
              </w:rPr>
              <w:lastRenderedPageBreak/>
              <w:t>develop and present the "detailed budget proposal of the activities", since Annex_III-Budget format is general and is grouped by items and /or expense items and does not reflect a clear option to develop a detailed budget</w:t>
            </w:r>
            <w:r>
              <w:rPr>
                <w:sz w:val="18"/>
                <w:szCs w:val="18"/>
              </w:rPr>
              <w:t>?</w:t>
            </w:r>
          </w:p>
          <w:p w14:paraId="482962E4" w14:textId="2A0C70BB" w:rsidR="00927BC1" w:rsidRDefault="00927BC1" w:rsidP="00483CE8">
            <w:pPr>
              <w:rPr>
                <w:sz w:val="18"/>
                <w:szCs w:val="18"/>
              </w:rPr>
            </w:pPr>
            <w:r w:rsidRPr="00AD3363">
              <w:rPr>
                <w:sz w:val="18"/>
                <w:szCs w:val="18"/>
              </w:rPr>
              <w:t xml:space="preserve">3.            Since </w:t>
            </w:r>
            <w:r>
              <w:rPr>
                <w:sz w:val="18"/>
                <w:szCs w:val="18"/>
              </w:rPr>
              <w:t>we are</w:t>
            </w:r>
            <w:r w:rsidRPr="00AD3363">
              <w:rPr>
                <w:sz w:val="18"/>
                <w:szCs w:val="18"/>
              </w:rPr>
              <w:t xml:space="preserve"> an international organization, our budgets include an Overhead of 7% and </w:t>
            </w:r>
            <w:proofErr w:type="gramStart"/>
            <w:r w:rsidRPr="00AD3363">
              <w:rPr>
                <w:sz w:val="18"/>
                <w:szCs w:val="18"/>
              </w:rPr>
              <w:t>due to the fact that</w:t>
            </w:r>
            <w:proofErr w:type="gramEnd"/>
            <w:r w:rsidRPr="00AD3363">
              <w:rPr>
                <w:sz w:val="18"/>
                <w:szCs w:val="18"/>
              </w:rPr>
              <w:t xml:space="preserve"> the MYRP considers it in its approved budget, </w:t>
            </w:r>
            <w:r>
              <w:rPr>
                <w:sz w:val="18"/>
                <w:szCs w:val="18"/>
              </w:rPr>
              <w:t>could you please</w:t>
            </w:r>
            <w:r w:rsidRPr="00AD3363">
              <w:rPr>
                <w:sz w:val="18"/>
                <w:szCs w:val="18"/>
              </w:rPr>
              <w:t xml:space="preserve"> confirm that we can include it in our economic proposal</w:t>
            </w:r>
            <w:r>
              <w:rPr>
                <w:sz w:val="18"/>
                <w:szCs w:val="18"/>
              </w:rPr>
              <w:t>?</w:t>
            </w:r>
          </w:p>
          <w:p w14:paraId="25356C59" w14:textId="3A4D83A3" w:rsidR="00927BC1" w:rsidRPr="00AD3363" w:rsidRDefault="00927BC1" w:rsidP="00483CE8">
            <w:pPr>
              <w:rPr>
                <w:sz w:val="18"/>
                <w:szCs w:val="18"/>
              </w:rPr>
            </w:pPr>
          </w:p>
          <w:p w14:paraId="0D8A6030" w14:textId="77777777" w:rsidR="00927BC1" w:rsidRPr="00AD3363" w:rsidRDefault="00927BC1" w:rsidP="00483CE8">
            <w:pPr>
              <w:rPr>
                <w:sz w:val="18"/>
                <w:szCs w:val="18"/>
              </w:rPr>
            </w:pPr>
            <w:r w:rsidRPr="00AD3363">
              <w:rPr>
                <w:sz w:val="18"/>
                <w:szCs w:val="18"/>
              </w:rPr>
              <w:t>TECHNICAL ISSUES</w:t>
            </w:r>
          </w:p>
          <w:p w14:paraId="65E64D22" w14:textId="15F1EC39" w:rsidR="00927BC1" w:rsidRPr="00AD3363" w:rsidRDefault="00927BC1">
            <w:pPr>
              <w:rPr>
                <w:sz w:val="18"/>
                <w:szCs w:val="18"/>
              </w:rPr>
            </w:pPr>
            <w:r w:rsidRPr="00AD3363">
              <w:rPr>
                <w:sz w:val="18"/>
                <w:szCs w:val="18"/>
              </w:rPr>
              <w:t>4.            At a technical level and in relation to Annex 1 TOR, in the objectives of the results, in the goals of result 1.5 and 2.1, it is stated 1540 families in transit</w:t>
            </w:r>
            <w:r>
              <w:rPr>
                <w:sz w:val="18"/>
                <w:szCs w:val="18"/>
              </w:rPr>
              <w:t>;</w:t>
            </w:r>
            <w:r w:rsidRPr="00AD3363">
              <w:rPr>
                <w:sz w:val="18"/>
                <w:szCs w:val="18"/>
              </w:rPr>
              <w:t xml:space="preserve"> the query is </w:t>
            </w:r>
            <w:r>
              <w:rPr>
                <w:sz w:val="18"/>
                <w:szCs w:val="18"/>
              </w:rPr>
              <w:t>whether</w:t>
            </w:r>
            <w:r w:rsidRPr="00AD3363">
              <w:rPr>
                <w:sz w:val="18"/>
                <w:szCs w:val="18"/>
              </w:rPr>
              <w:t xml:space="preserve"> they are only families in transit that may not have a vocation to stay in Ecuador or </w:t>
            </w:r>
            <w:r>
              <w:rPr>
                <w:sz w:val="18"/>
                <w:szCs w:val="18"/>
              </w:rPr>
              <w:t xml:space="preserve">if </w:t>
            </w:r>
            <w:r w:rsidRPr="00AD3363">
              <w:rPr>
                <w:sz w:val="18"/>
                <w:szCs w:val="18"/>
              </w:rPr>
              <w:t xml:space="preserve">it </w:t>
            </w:r>
            <w:r>
              <w:rPr>
                <w:sz w:val="18"/>
                <w:szCs w:val="18"/>
              </w:rPr>
              <w:t xml:space="preserve">rather </w:t>
            </w:r>
            <w:r w:rsidRPr="00AD3363">
              <w:rPr>
                <w:sz w:val="18"/>
                <w:szCs w:val="18"/>
              </w:rPr>
              <w:t>refers to all Venezuelan families in transit and with a vocation to stay, because if they are in transit it is very complex to register and follow up if they are not going to stay in the country</w:t>
            </w:r>
          </w:p>
        </w:tc>
        <w:tc>
          <w:tcPr>
            <w:tcW w:w="2648" w:type="pct"/>
            <w:vAlign w:val="center"/>
          </w:tcPr>
          <w:p w14:paraId="0DADCAD8" w14:textId="18EE602E" w:rsidR="00927BC1" w:rsidRPr="00AD3363" w:rsidRDefault="00927BC1" w:rsidP="00483CE8">
            <w:pPr>
              <w:rPr>
                <w:sz w:val="18"/>
                <w:szCs w:val="18"/>
              </w:rPr>
            </w:pPr>
            <w:r>
              <w:rPr>
                <w:sz w:val="18"/>
                <w:szCs w:val="18"/>
              </w:rPr>
              <w:lastRenderedPageBreak/>
              <w:t xml:space="preserve">1. </w:t>
            </w:r>
            <w:r w:rsidRPr="00AD3363">
              <w:rPr>
                <w:sz w:val="18"/>
                <w:szCs w:val="18"/>
              </w:rPr>
              <w:t>Proposal documents must be submitted in English.</w:t>
            </w:r>
          </w:p>
          <w:p w14:paraId="6F18C0A6" w14:textId="09D9FA77" w:rsidR="00927BC1" w:rsidRPr="00CD443A" w:rsidRDefault="00927BC1" w:rsidP="00927BC1">
            <w:pPr>
              <w:rPr>
                <w:sz w:val="18"/>
                <w:szCs w:val="18"/>
              </w:rPr>
            </w:pPr>
            <w:r w:rsidRPr="00AD3363">
              <w:rPr>
                <w:sz w:val="18"/>
                <w:szCs w:val="18"/>
              </w:rPr>
              <w:t xml:space="preserve">2. </w:t>
            </w:r>
            <w:r w:rsidRPr="00CD443A">
              <w:rPr>
                <w:sz w:val="18"/>
                <w:szCs w:val="18"/>
              </w:rPr>
              <w:t xml:space="preserve">Values ​​must be reported globally as indicated in Annex III. However, to arrive at these global values ​​or items required in the annex, we request that you open an additional tab in which the suggested detailed budget is precisely developed; in such a way that UNESCO </w:t>
            </w:r>
            <w:r w:rsidRPr="00CD443A">
              <w:rPr>
                <w:sz w:val="18"/>
                <w:szCs w:val="18"/>
              </w:rPr>
              <w:lastRenderedPageBreak/>
              <w:t>can determine the reasonableness and relevance of the costs as part of the financial evaluation against other bidders.</w:t>
            </w:r>
          </w:p>
          <w:p w14:paraId="56153B33" w14:textId="3BB22ECD" w:rsidR="00927BC1" w:rsidRPr="00CD443A" w:rsidRDefault="00927BC1" w:rsidP="00927BC1">
            <w:pPr>
              <w:rPr>
                <w:sz w:val="18"/>
                <w:szCs w:val="18"/>
              </w:rPr>
            </w:pPr>
            <w:r w:rsidRPr="00AD3363">
              <w:rPr>
                <w:sz w:val="18"/>
                <w:szCs w:val="18"/>
              </w:rPr>
              <w:t xml:space="preserve">3. </w:t>
            </w:r>
            <w:r w:rsidRPr="00CD443A">
              <w:rPr>
                <w:sz w:val="18"/>
                <w:szCs w:val="18"/>
              </w:rPr>
              <w:t>In the point VI. BUDGET SIZE AND DURATION, paragraph 2, of the Call for Parternship, it is specified that no costs of overhead are accepted:</w:t>
            </w:r>
          </w:p>
          <w:p w14:paraId="078CECD8" w14:textId="77777777" w:rsidR="00927BC1" w:rsidRPr="00CD443A" w:rsidRDefault="00927BC1" w:rsidP="00483CE8">
            <w:pPr>
              <w:ind w:left="720"/>
              <w:rPr>
                <w:i/>
                <w:iCs/>
                <w:sz w:val="18"/>
                <w:szCs w:val="18"/>
              </w:rPr>
            </w:pPr>
            <w:r w:rsidRPr="00CD443A">
              <w:rPr>
                <w:i/>
                <w:iCs/>
                <w:sz w:val="18"/>
                <w:szCs w:val="18"/>
              </w:rPr>
              <w:t>¨Regarding the budget of the technical proposal of the partner, UNESCO retains the right to elaborate the work plan and negotiate the budget with the partner, prior to signing agreement, to ensure value of money. Likewise, UNESCO will ensure that in accordance with its policies the selected Partner will be able to provide added value in terms of financial or in-kind contribution. The partner’s financial or in- kind contribution will be indicated in the budget proposal</w:t>
            </w:r>
            <w:r w:rsidRPr="00CD443A">
              <w:rPr>
                <w:i/>
                <w:iCs/>
                <w:sz w:val="18"/>
                <w:szCs w:val="18"/>
                <w:highlight w:val="yellow"/>
              </w:rPr>
              <w:t>. No overheads in terms of administrative or service fees are accepted (direct budgeting based on activities</w:t>
            </w:r>
            <w:proofErr w:type="gramStart"/>
            <w:r w:rsidRPr="00CD443A">
              <w:rPr>
                <w:i/>
                <w:iCs/>
                <w:sz w:val="18"/>
                <w:szCs w:val="18"/>
                <w:highlight w:val="yellow"/>
              </w:rPr>
              <w:t>).¨</w:t>
            </w:r>
            <w:proofErr w:type="gramEnd"/>
          </w:p>
          <w:p w14:paraId="4466E1BA" w14:textId="77777777" w:rsidR="00927BC1" w:rsidRPr="00CD443A" w:rsidRDefault="00927BC1" w:rsidP="00483CE8">
            <w:pPr>
              <w:ind w:left="720"/>
              <w:rPr>
                <w:sz w:val="18"/>
                <w:szCs w:val="18"/>
              </w:rPr>
            </w:pPr>
            <w:r w:rsidRPr="00CD443A">
              <w:rPr>
                <w:sz w:val="18"/>
                <w:szCs w:val="18"/>
              </w:rPr>
              <w:t xml:space="preserve">Additionally, the policy of Implementation Partner Agreements (IPA) refers the following: </w:t>
            </w:r>
          </w:p>
          <w:p w14:paraId="39EE6C72" w14:textId="77777777" w:rsidR="00927BC1" w:rsidRPr="00CD443A" w:rsidRDefault="00927BC1" w:rsidP="00483CE8">
            <w:pPr>
              <w:ind w:left="720"/>
              <w:rPr>
                <w:i/>
                <w:iCs/>
                <w:sz w:val="18"/>
                <w:szCs w:val="18"/>
              </w:rPr>
            </w:pPr>
            <w:r w:rsidRPr="00CD443A">
              <w:rPr>
                <w:i/>
                <w:iCs/>
                <w:sz w:val="18"/>
                <w:szCs w:val="18"/>
              </w:rPr>
              <w:t>“Implementation Partners’ Agreements’ budgets should only include financial provisions for activities that are directly relevant to the attainment of the agreement’s objectives. The administrative costs (</w:t>
            </w:r>
            <w:proofErr w:type="gramStart"/>
            <w:r w:rsidRPr="00CD443A">
              <w:rPr>
                <w:i/>
                <w:iCs/>
                <w:sz w:val="18"/>
                <w:szCs w:val="18"/>
              </w:rPr>
              <w:t>e.g.</w:t>
            </w:r>
            <w:proofErr w:type="gramEnd"/>
            <w:r w:rsidRPr="00CD443A">
              <w:rPr>
                <w:i/>
                <w:iCs/>
                <w:sz w:val="18"/>
                <w:szCs w:val="18"/>
              </w:rPr>
              <w:t xml:space="preserve"> managing, monitoring, preparing substantive and financial reports etc.) associated with Implementation Partners’ Agreements should be borne by the partner”.</w:t>
            </w:r>
          </w:p>
          <w:p w14:paraId="0AC31D05" w14:textId="00D74196" w:rsidR="00927BC1" w:rsidRDefault="00927BC1" w:rsidP="00483CE8">
            <w:pPr>
              <w:ind w:left="720"/>
              <w:rPr>
                <w:sz w:val="18"/>
                <w:szCs w:val="18"/>
              </w:rPr>
            </w:pPr>
            <w:r w:rsidRPr="00CD443A">
              <w:rPr>
                <w:sz w:val="18"/>
                <w:szCs w:val="18"/>
              </w:rPr>
              <w:t>For the previously mentioned reasons, for this call, 7% or other values for concept of overhead/indirect costs won´t accepted.</w:t>
            </w:r>
          </w:p>
          <w:p w14:paraId="5CFBDB00" w14:textId="77777777" w:rsidR="00927BC1" w:rsidRPr="00CD443A" w:rsidRDefault="00927BC1" w:rsidP="00483CE8">
            <w:pPr>
              <w:ind w:left="720"/>
              <w:rPr>
                <w:sz w:val="18"/>
                <w:szCs w:val="18"/>
              </w:rPr>
            </w:pPr>
          </w:p>
          <w:p w14:paraId="7A3D06DB" w14:textId="77777777" w:rsidR="00927BC1" w:rsidRPr="00AD3363" w:rsidRDefault="00927BC1" w:rsidP="00483CE8">
            <w:pPr>
              <w:rPr>
                <w:sz w:val="18"/>
                <w:szCs w:val="18"/>
              </w:rPr>
            </w:pPr>
            <w:r w:rsidRPr="00AD3363">
              <w:rPr>
                <w:sz w:val="18"/>
                <w:szCs w:val="18"/>
              </w:rPr>
              <w:t>TECHNICAL ISSUES</w:t>
            </w:r>
          </w:p>
          <w:p w14:paraId="45B7556B" w14:textId="4C2D4C5C" w:rsidR="00927BC1" w:rsidRPr="00CD443A" w:rsidRDefault="00927BC1" w:rsidP="00927BC1">
            <w:pPr>
              <w:rPr>
                <w:sz w:val="18"/>
                <w:szCs w:val="18"/>
              </w:rPr>
            </w:pPr>
            <w:r w:rsidRPr="00AD3363">
              <w:rPr>
                <w:sz w:val="18"/>
                <w:szCs w:val="18"/>
              </w:rPr>
              <w:t xml:space="preserve">4. </w:t>
            </w:r>
            <w:r w:rsidRPr="00CD443A">
              <w:rPr>
                <w:sz w:val="18"/>
                <w:szCs w:val="18"/>
              </w:rPr>
              <w:t>Indeed, the target is 1,540 families in transit with a vocation for permanence, to guarantee a process of accompaniment and follow-up in the enrollment process.</w:t>
            </w:r>
          </w:p>
          <w:p w14:paraId="2554CD87" w14:textId="5C90E33F" w:rsidR="00927BC1" w:rsidRPr="00927BC1" w:rsidRDefault="00927BC1" w:rsidP="00483CE8">
            <w:pPr>
              <w:rPr>
                <w:sz w:val="18"/>
                <w:szCs w:val="18"/>
              </w:rPr>
            </w:pPr>
          </w:p>
        </w:tc>
      </w:tr>
      <w:tr w:rsidR="00927BC1" w:rsidRPr="00FF2859" w14:paraId="0C928BDB" w14:textId="77777777" w:rsidTr="00927BC1">
        <w:tc>
          <w:tcPr>
            <w:tcW w:w="671" w:type="pct"/>
            <w:vAlign w:val="center"/>
          </w:tcPr>
          <w:p w14:paraId="3AB1C473" w14:textId="77777777" w:rsidR="00927BC1" w:rsidRPr="00AD3363" w:rsidRDefault="00927BC1" w:rsidP="00483CE8">
            <w:pPr>
              <w:rPr>
                <w:sz w:val="18"/>
                <w:szCs w:val="18"/>
              </w:rPr>
            </w:pPr>
            <w:r>
              <w:rPr>
                <w:sz w:val="18"/>
                <w:szCs w:val="18"/>
              </w:rPr>
              <w:t>26/07/2022</w:t>
            </w:r>
          </w:p>
        </w:tc>
        <w:tc>
          <w:tcPr>
            <w:tcW w:w="1681" w:type="pct"/>
            <w:vAlign w:val="center"/>
          </w:tcPr>
          <w:p w14:paraId="097105DD" w14:textId="48D11DBA" w:rsidR="00927BC1" w:rsidRPr="00927BC1" w:rsidRDefault="00927BC1">
            <w:pPr>
              <w:rPr>
                <w:sz w:val="18"/>
                <w:szCs w:val="18"/>
              </w:rPr>
            </w:pPr>
            <w:r w:rsidRPr="00AD3363">
              <w:rPr>
                <w:sz w:val="18"/>
                <w:szCs w:val="18"/>
              </w:rPr>
              <w:t>We have a specific question about the indicators that the proposal should have, apart from gender and inclusion, could you please give us more information about it</w:t>
            </w:r>
            <w:r>
              <w:rPr>
                <w:sz w:val="18"/>
                <w:szCs w:val="18"/>
              </w:rPr>
              <w:t>?</w:t>
            </w:r>
            <w:r w:rsidRPr="00AD3363">
              <w:rPr>
                <w:sz w:val="18"/>
                <w:szCs w:val="18"/>
              </w:rPr>
              <w:t xml:space="preserve"> </w:t>
            </w:r>
          </w:p>
        </w:tc>
        <w:tc>
          <w:tcPr>
            <w:tcW w:w="2648" w:type="pct"/>
            <w:vAlign w:val="center"/>
          </w:tcPr>
          <w:p w14:paraId="6011842E" w14:textId="450D8217" w:rsidR="00927BC1" w:rsidRPr="00AD3363" w:rsidRDefault="00927BC1" w:rsidP="00483CE8">
            <w:pPr>
              <w:rPr>
                <w:sz w:val="18"/>
                <w:szCs w:val="18"/>
              </w:rPr>
            </w:pPr>
            <w:proofErr w:type="gramStart"/>
            <w:r>
              <w:rPr>
                <w:sz w:val="18"/>
                <w:szCs w:val="18"/>
              </w:rPr>
              <w:t>F</w:t>
            </w:r>
            <w:r w:rsidRPr="00AD3363">
              <w:rPr>
                <w:sz w:val="18"/>
                <w:szCs w:val="18"/>
              </w:rPr>
              <w:t>irst of all</w:t>
            </w:r>
            <w:proofErr w:type="gramEnd"/>
            <w:r>
              <w:rPr>
                <w:sz w:val="18"/>
                <w:szCs w:val="18"/>
              </w:rPr>
              <w:t>,</w:t>
            </w:r>
            <w:r w:rsidRPr="00AD3363">
              <w:rPr>
                <w:sz w:val="18"/>
                <w:szCs w:val="18"/>
              </w:rPr>
              <w:t xml:space="preserve"> it is important to highlight that the disaggregation of the results by gender and disability is mandatory. </w:t>
            </w:r>
          </w:p>
          <w:p w14:paraId="1B08B7A6" w14:textId="77777777" w:rsidR="00927BC1" w:rsidRPr="00AD3363" w:rsidRDefault="00927BC1" w:rsidP="00483CE8">
            <w:pPr>
              <w:rPr>
                <w:sz w:val="18"/>
                <w:szCs w:val="18"/>
              </w:rPr>
            </w:pPr>
            <w:r w:rsidRPr="00AD3363">
              <w:rPr>
                <w:sz w:val="18"/>
                <w:szCs w:val="18"/>
              </w:rPr>
              <w:t xml:space="preserve">Please </w:t>
            </w:r>
            <w:proofErr w:type="gramStart"/>
            <w:r w:rsidRPr="00AD3363">
              <w:rPr>
                <w:sz w:val="18"/>
                <w:szCs w:val="18"/>
              </w:rPr>
              <w:t>take into account</w:t>
            </w:r>
            <w:proofErr w:type="gramEnd"/>
            <w:r w:rsidRPr="00AD3363">
              <w:rPr>
                <w:sz w:val="18"/>
                <w:szCs w:val="18"/>
              </w:rPr>
              <w:t xml:space="preserve"> the specific indicators that are detailed in the call:</w:t>
            </w:r>
          </w:p>
          <w:p w14:paraId="387A141A" w14:textId="77777777" w:rsidR="00927BC1" w:rsidRPr="00AD3363" w:rsidRDefault="00927BC1" w:rsidP="00483CE8">
            <w:pPr>
              <w:rPr>
                <w:sz w:val="18"/>
                <w:szCs w:val="18"/>
              </w:rPr>
            </w:pPr>
            <w:r w:rsidRPr="00AD3363">
              <w:rPr>
                <w:sz w:val="18"/>
                <w:szCs w:val="18"/>
              </w:rPr>
              <w:t>1.2: # of boys and girls who enrolled after receiving support</w:t>
            </w:r>
          </w:p>
          <w:p w14:paraId="3E61F725" w14:textId="77777777" w:rsidR="00927BC1" w:rsidRPr="00AD3363" w:rsidRDefault="00927BC1" w:rsidP="00483CE8">
            <w:pPr>
              <w:rPr>
                <w:sz w:val="18"/>
                <w:szCs w:val="18"/>
              </w:rPr>
            </w:pPr>
            <w:r w:rsidRPr="00AD3363">
              <w:rPr>
                <w:sz w:val="18"/>
                <w:szCs w:val="18"/>
              </w:rPr>
              <w:t>1.5: # of boys and girls of a) refugee and migrant boys and girls b) pregnant adolescents and c) working adolescents who access quality education through alternative modalities adapted to their needs.</w:t>
            </w:r>
          </w:p>
          <w:p w14:paraId="4F532E24" w14:textId="324491A9" w:rsidR="00927BC1" w:rsidRPr="00AD3363" w:rsidRDefault="00927BC1" w:rsidP="00483CE8">
            <w:pPr>
              <w:rPr>
                <w:sz w:val="18"/>
                <w:szCs w:val="18"/>
              </w:rPr>
            </w:pPr>
            <w:r w:rsidRPr="00AD3363">
              <w:rPr>
                <w:sz w:val="18"/>
                <w:szCs w:val="18"/>
              </w:rPr>
              <w:t>2.1: # of parents and caregivers that report the importance of understanding girls' education</w:t>
            </w:r>
          </w:p>
          <w:p w14:paraId="451E03E7" w14:textId="77777777" w:rsidR="00927BC1" w:rsidRPr="00AD3363" w:rsidRDefault="00927BC1" w:rsidP="00483CE8">
            <w:pPr>
              <w:rPr>
                <w:sz w:val="18"/>
                <w:szCs w:val="18"/>
              </w:rPr>
            </w:pPr>
            <w:r w:rsidRPr="00AD3363">
              <w:rPr>
                <w:sz w:val="18"/>
                <w:szCs w:val="18"/>
              </w:rPr>
              <w:t>If you have any other questions and/or require more information, we remain attentive.</w:t>
            </w:r>
          </w:p>
          <w:p w14:paraId="63DC115A" w14:textId="77777777" w:rsidR="00927BC1" w:rsidRPr="00927BC1" w:rsidRDefault="00927BC1">
            <w:pPr>
              <w:rPr>
                <w:sz w:val="18"/>
                <w:szCs w:val="18"/>
              </w:rPr>
            </w:pPr>
          </w:p>
        </w:tc>
      </w:tr>
      <w:tr w:rsidR="00927BC1" w:rsidRPr="00BC4981" w14:paraId="5BFC69D6" w14:textId="77777777" w:rsidTr="00927BC1">
        <w:tc>
          <w:tcPr>
            <w:tcW w:w="671" w:type="pct"/>
            <w:vAlign w:val="center"/>
          </w:tcPr>
          <w:p w14:paraId="4AC55D35" w14:textId="77D39358" w:rsidR="00927BC1" w:rsidRPr="00FF2859" w:rsidRDefault="00927BC1" w:rsidP="00483CE8">
            <w:pPr>
              <w:rPr>
                <w:sz w:val="18"/>
                <w:szCs w:val="18"/>
                <w:lang w:val="es-EC"/>
              </w:rPr>
            </w:pPr>
            <w:r>
              <w:rPr>
                <w:sz w:val="18"/>
                <w:szCs w:val="18"/>
                <w:lang w:val="es-EC"/>
              </w:rPr>
              <w:t>27/07/2022</w:t>
            </w:r>
          </w:p>
        </w:tc>
        <w:tc>
          <w:tcPr>
            <w:tcW w:w="1681" w:type="pct"/>
            <w:vAlign w:val="center"/>
          </w:tcPr>
          <w:p w14:paraId="1788C96D" w14:textId="6672E5FA" w:rsidR="00927BC1" w:rsidRPr="00BC4981" w:rsidRDefault="00927BC1" w:rsidP="00BC4981">
            <w:pPr>
              <w:rPr>
                <w:sz w:val="18"/>
                <w:szCs w:val="18"/>
              </w:rPr>
            </w:pPr>
            <w:r w:rsidRPr="00BC4981">
              <w:rPr>
                <w:sz w:val="18"/>
                <w:szCs w:val="18"/>
              </w:rPr>
              <w:t xml:space="preserve">Regarding the language of the presentation of the proposal, </w:t>
            </w:r>
            <w:proofErr w:type="gramStart"/>
            <w:r>
              <w:rPr>
                <w:sz w:val="18"/>
                <w:szCs w:val="18"/>
              </w:rPr>
              <w:t>i.e.</w:t>
            </w:r>
            <w:proofErr w:type="gramEnd"/>
            <w:r>
              <w:rPr>
                <w:sz w:val="18"/>
                <w:szCs w:val="18"/>
              </w:rPr>
              <w:t xml:space="preserve"> if it could be submitted in Spanish, </w:t>
            </w:r>
            <w:r w:rsidRPr="00BC4981">
              <w:rPr>
                <w:sz w:val="18"/>
                <w:szCs w:val="18"/>
              </w:rPr>
              <w:t xml:space="preserve">we had that question because we did not find the information about it in the Call for Partnership, and on other occasions this information appeared and the proposal </w:t>
            </w:r>
            <w:r w:rsidRPr="00BC4981">
              <w:rPr>
                <w:sz w:val="18"/>
                <w:szCs w:val="18"/>
              </w:rPr>
              <w:lastRenderedPageBreak/>
              <w:t>was usually admitted in the language of the country, that is Spanish</w:t>
            </w:r>
            <w:r>
              <w:rPr>
                <w:sz w:val="18"/>
                <w:szCs w:val="18"/>
              </w:rPr>
              <w:t>. Can</w:t>
            </w:r>
            <w:r w:rsidRPr="00BC4981">
              <w:rPr>
                <w:sz w:val="18"/>
                <w:szCs w:val="18"/>
              </w:rPr>
              <w:t xml:space="preserve"> you tell us the basis of the requirement to make the proposal in English?</w:t>
            </w:r>
            <w:r>
              <w:rPr>
                <w:sz w:val="18"/>
                <w:szCs w:val="18"/>
              </w:rPr>
              <w:t xml:space="preserve"> P</w:t>
            </w:r>
            <w:r w:rsidRPr="00BC4981">
              <w:rPr>
                <w:sz w:val="18"/>
                <w:szCs w:val="18"/>
              </w:rPr>
              <w:t>erhaps we missed it when reading the document, in order to transfer it to our headquarters and plan this resource internally in our formulation process.</w:t>
            </w:r>
          </w:p>
          <w:p w14:paraId="57AF53C0" w14:textId="3F7E66DC" w:rsidR="00927BC1" w:rsidRPr="00BC4981" w:rsidRDefault="00927BC1" w:rsidP="00BC4981">
            <w:pPr>
              <w:rPr>
                <w:sz w:val="18"/>
                <w:szCs w:val="18"/>
              </w:rPr>
            </w:pPr>
          </w:p>
        </w:tc>
        <w:tc>
          <w:tcPr>
            <w:tcW w:w="2648" w:type="pct"/>
            <w:vAlign w:val="center"/>
          </w:tcPr>
          <w:p w14:paraId="7A030876" w14:textId="0BA86833" w:rsidR="00927BC1" w:rsidRPr="000D6464" w:rsidRDefault="00927BC1" w:rsidP="000D6464">
            <w:pPr>
              <w:rPr>
                <w:sz w:val="18"/>
                <w:szCs w:val="18"/>
              </w:rPr>
            </w:pPr>
            <w:r>
              <w:rPr>
                <w:sz w:val="18"/>
                <w:szCs w:val="18"/>
              </w:rPr>
              <w:lastRenderedPageBreak/>
              <w:t>T</w:t>
            </w:r>
            <w:r w:rsidRPr="000D6464">
              <w:rPr>
                <w:sz w:val="18"/>
                <w:szCs w:val="18"/>
              </w:rPr>
              <w:t>he language in which the call was launched is English, consequently all administrative processes are channeled in that language as well, hence bidders are required to submit their proposal in that language.</w:t>
            </w:r>
          </w:p>
          <w:p w14:paraId="616889BB" w14:textId="77777777" w:rsidR="00927BC1" w:rsidRPr="000D6464" w:rsidRDefault="00927BC1" w:rsidP="000D6464">
            <w:pPr>
              <w:rPr>
                <w:sz w:val="18"/>
                <w:szCs w:val="18"/>
              </w:rPr>
            </w:pPr>
            <w:r w:rsidRPr="000D6464">
              <w:rPr>
                <w:sz w:val="18"/>
                <w:szCs w:val="18"/>
              </w:rPr>
              <w:t>Therefore, please send the proposal in English.</w:t>
            </w:r>
          </w:p>
          <w:p w14:paraId="7C2CC131" w14:textId="0C93803E" w:rsidR="00927BC1" w:rsidRPr="00BC4981" w:rsidRDefault="00927BC1" w:rsidP="000D6464">
            <w:pPr>
              <w:rPr>
                <w:sz w:val="18"/>
                <w:szCs w:val="18"/>
              </w:rPr>
            </w:pPr>
          </w:p>
        </w:tc>
      </w:tr>
      <w:tr w:rsidR="00927BC1" w:rsidRPr="00824DAA" w14:paraId="1B40B5E5" w14:textId="77777777" w:rsidTr="00927BC1">
        <w:tc>
          <w:tcPr>
            <w:tcW w:w="671" w:type="pct"/>
            <w:vAlign w:val="center"/>
          </w:tcPr>
          <w:p w14:paraId="032C05DF" w14:textId="58FD0322" w:rsidR="00927BC1" w:rsidRDefault="00927BC1" w:rsidP="00483CE8">
            <w:pPr>
              <w:rPr>
                <w:sz w:val="18"/>
                <w:szCs w:val="18"/>
                <w:lang w:val="es-EC"/>
              </w:rPr>
            </w:pPr>
            <w:r>
              <w:rPr>
                <w:sz w:val="18"/>
                <w:szCs w:val="18"/>
                <w:lang w:val="es-EC"/>
              </w:rPr>
              <w:lastRenderedPageBreak/>
              <w:t>27/07/2022</w:t>
            </w:r>
          </w:p>
        </w:tc>
        <w:tc>
          <w:tcPr>
            <w:tcW w:w="1681" w:type="pct"/>
            <w:vAlign w:val="center"/>
          </w:tcPr>
          <w:p w14:paraId="36FECA21" w14:textId="797AB02C" w:rsidR="00927BC1" w:rsidRPr="000926A3" w:rsidRDefault="00927BC1" w:rsidP="000926A3">
            <w:pPr>
              <w:rPr>
                <w:sz w:val="18"/>
                <w:szCs w:val="18"/>
              </w:rPr>
            </w:pPr>
            <w:r>
              <w:rPr>
                <w:sz w:val="18"/>
                <w:szCs w:val="18"/>
              </w:rPr>
              <w:t>O</w:t>
            </w:r>
            <w:r w:rsidRPr="000926A3">
              <w:rPr>
                <w:sz w:val="18"/>
                <w:szCs w:val="18"/>
              </w:rPr>
              <w:t xml:space="preserve">ur organization has been legally constituted since December 2021. That is, we still don´t have 2 years </w:t>
            </w:r>
            <w:r>
              <w:rPr>
                <w:sz w:val="18"/>
                <w:szCs w:val="18"/>
              </w:rPr>
              <w:t>o</w:t>
            </w:r>
            <w:r w:rsidRPr="000926A3">
              <w:rPr>
                <w:sz w:val="18"/>
                <w:szCs w:val="18"/>
              </w:rPr>
              <w:t>f constitution. Is it possible to present the call through our regional office in Colombia? This office has been established in Colombia since 2018.</w:t>
            </w:r>
          </w:p>
          <w:p w14:paraId="0B648249" w14:textId="2A3776F5" w:rsidR="00927BC1" w:rsidRPr="00824DAA" w:rsidRDefault="00927BC1" w:rsidP="000926A3">
            <w:pPr>
              <w:rPr>
                <w:sz w:val="18"/>
                <w:szCs w:val="18"/>
                <w:lang w:val="es-EC"/>
              </w:rPr>
            </w:pPr>
          </w:p>
        </w:tc>
        <w:tc>
          <w:tcPr>
            <w:tcW w:w="2648" w:type="pct"/>
            <w:vAlign w:val="center"/>
          </w:tcPr>
          <w:p w14:paraId="4D342A32" w14:textId="60ED9AC2" w:rsidR="00927BC1" w:rsidRPr="009D73F2" w:rsidRDefault="00927BC1" w:rsidP="009D73F2">
            <w:pPr>
              <w:rPr>
                <w:sz w:val="18"/>
                <w:szCs w:val="18"/>
              </w:rPr>
            </w:pPr>
            <w:r w:rsidRPr="009D73F2">
              <w:rPr>
                <w:sz w:val="18"/>
                <w:szCs w:val="18"/>
              </w:rPr>
              <w:t xml:space="preserve">Section III. ELIGIBILITY, of the call for partnership states: </w:t>
            </w:r>
            <w:r w:rsidRPr="009D73F2">
              <w:rPr>
                <w:i/>
                <w:iCs/>
                <w:sz w:val="18"/>
                <w:szCs w:val="18"/>
              </w:rPr>
              <w:t xml:space="preserve">¨A UNESCO Implementation Partner is an entity with a not-for-profit status to which UNESCO has entrusted partially or fully the implementation of programs or projects specified in a signed document, along with the assumption of full responsibility and accountability for the effective use of resources and the delivery of outputs as set forth in such a document. </w:t>
            </w:r>
            <w:r w:rsidRPr="009D73F2">
              <w:rPr>
                <w:i/>
                <w:iCs/>
                <w:sz w:val="18"/>
                <w:szCs w:val="18"/>
                <w:highlight w:val="yellow"/>
              </w:rPr>
              <w:t>The partner must be endowed under the national law and active for at least two years</w:t>
            </w:r>
            <w:r w:rsidRPr="009D73F2">
              <w:rPr>
                <w:i/>
                <w:iCs/>
                <w:sz w:val="18"/>
                <w:szCs w:val="18"/>
              </w:rPr>
              <w:t xml:space="preserve">, including but not limited to: non-governmental organizations (NGOs), research institutes, universities, foundations, professional associations and intergovernmental </w:t>
            </w:r>
            <w:proofErr w:type="gramStart"/>
            <w:r w:rsidRPr="009D73F2">
              <w:rPr>
                <w:i/>
                <w:iCs/>
                <w:sz w:val="18"/>
                <w:szCs w:val="18"/>
              </w:rPr>
              <w:t>organizations.¨</w:t>
            </w:r>
            <w:proofErr w:type="gramEnd"/>
          </w:p>
          <w:p w14:paraId="654398A7" w14:textId="77777777" w:rsidR="00927BC1" w:rsidRPr="009D73F2" w:rsidRDefault="00927BC1" w:rsidP="009D73F2">
            <w:pPr>
              <w:rPr>
                <w:sz w:val="18"/>
                <w:szCs w:val="18"/>
              </w:rPr>
            </w:pPr>
            <w:r w:rsidRPr="009D73F2">
              <w:rPr>
                <w:sz w:val="18"/>
                <w:szCs w:val="18"/>
              </w:rPr>
              <w:t>Therefore, the organization does not meet this eligibility criterion.</w:t>
            </w:r>
          </w:p>
          <w:p w14:paraId="29E6EDE2" w14:textId="6A3C97AA" w:rsidR="00927BC1" w:rsidRPr="00927BC1" w:rsidRDefault="00927BC1" w:rsidP="009D73F2">
            <w:pPr>
              <w:rPr>
                <w:sz w:val="18"/>
                <w:szCs w:val="18"/>
              </w:rPr>
            </w:pPr>
          </w:p>
        </w:tc>
      </w:tr>
    </w:tbl>
    <w:p w14:paraId="6F31A6DE" w14:textId="5C33ECF6" w:rsidR="00BA279F" w:rsidRPr="00927BC1" w:rsidRDefault="00BA279F" w:rsidP="00596BAE"/>
    <w:sectPr w:rsidR="00BA279F" w:rsidRPr="00927BC1" w:rsidSect="00FA6B8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28B9D" w14:textId="77777777" w:rsidR="00243552" w:rsidRDefault="00243552" w:rsidP="00FF2859">
      <w:pPr>
        <w:spacing w:after="0" w:line="240" w:lineRule="auto"/>
      </w:pPr>
      <w:r>
        <w:separator/>
      </w:r>
    </w:p>
  </w:endnote>
  <w:endnote w:type="continuationSeparator" w:id="0">
    <w:p w14:paraId="387B08A7" w14:textId="77777777" w:rsidR="00243552" w:rsidRDefault="00243552" w:rsidP="00FF2859">
      <w:pPr>
        <w:spacing w:after="0" w:line="240" w:lineRule="auto"/>
      </w:pPr>
      <w:r>
        <w:continuationSeparator/>
      </w:r>
    </w:p>
  </w:endnote>
  <w:endnote w:type="continuationNotice" w:id="1">
    <w:p w14:paraId="3A650EC4" w14:textId="77777777" w:rsidR="00243552" w:rsidRDefault="00243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24082" w14:textId="77777777" w:rsidR="00243552" w:rsidRDefault="00243552" w:rsidP="00FF2859">
      <w:pPr>
        <w:spacing w:after="0" w:line="240" w:lineRule="auto"/>
      </w:pPr>
      <w:r>
        <w:separator/>
      </w:r>
    </w:p>
  </w:footnote>
  <w:footnote w:type="continuationSeparator" w:id="0">
    <w:p w14:paraId="65B68F75" w14:textId="77777777" w:rsidR="00243552" w:rsidRDefault="00243552" w:rsidP="00FF2859">
      <w:pPr>
        <w:spacing w:after="0" w:line="240" w:lineRule="auto"/>
      </w:pPr>
      <w:r>
        <w:continuationSeparator/>
      </w:r>
    </w:p>
  </w:footnote>
  <w:footnote w:type="continuationNotice" w:id="1">
    <w:p w14:paraId="4DC6B510" w14:textId="77777777" w:rsidR="00243552" w:rsidRDefault="00243552">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A32"/>
    <w:rsid w:val="0004580C"/>
    <w:rsid w:val="0005466B"/>
    <w:rsid w:val="000926A3"/>
    <w:rsid w:val="000D6464"/>
    <w:rsid w:val="000F3993"/>
    <w:rsid w:val="00103A1C"/>
    <w:rsid w:val="00112E88"/>
    <w:rsid w:val="00115D5F"/>
    <w:rsid w:val="00116658"/>
    <w:rsid w:val="00122002"/>
    <w:rsid w:val="00165A2B"/>
    <w:rsid w:val="00197245"/>
    <w:rsid w:val="0020791D"/>
    <w:rsid w:val="00225EAF"/>
    <w:rsid w:val="00243552"/>
    <w:rsid w:val="002A32A5"/>
    <w:rsid w:val="002E37E1"/>
    <w:rsid w:val="002E55E8"/>
    <w:rsid w:val="0032217C"/>
    <w:rsid w:val="00361E95"/>
    <w:rsid w:val="00394A3A"/>
    <w:rsid w:val="003E6368"/>
    <w:rsid w:val="004625A8"/>
    <w:rsid w:val="004625D4"/>
    <w:rsid w:val="00483CE8"/>
    <w:rsid w:val="0049142E"/>
    <w:rsid w:val="00502319"/>
    <w:rsid w:val="00517AB3"/>
    <w:rsid w:val="00552D3C"/>
    <w:rsid w:val="00596BAE"/>
    <w:rsid w:val="005D7237"/>
    <w:rsid w:val="005E7444"/>
    <w:rsid w:val="0063701B"/>
    <w:rsid w:val="006605BA"/>
    <w:rsid w:val="0072582E"/>
    <w:rsid w:val="00737579"/>
    <w:rsid w:val="007427AD"/>
    <w:rsid w:val="007558F2"/>
    <w:rsid w:val="00771368"/>
    <w:rsid w:val="007826C5"/>
    <w:rsid w:val="0079276E"/>
    <w:rsid w:val="007A2F0D"/>
    <w:rsid w:val="007E55C1"/>
    <w:rsid w:val="007F3B5C"/>
    <w:rsid w:val="00800F40"/>
    <w:rsid w:val="00824DAA"/>
    <w:rsid w:val="00852496"/>
    <w:rsid w:val="008906A5"/>
    <w:rsid w:val="008E1FFE"/>
    <w:rsid w:val="008F357D"/>
    <w:rsid w:val="00913A32"/>
    <w:rsid w:val="00927BC1"/>
    <w:rsid w:val="009A0B54"/>
    <w:rsid w:val="009D4B5D"/>
    <w:rsid w:val="009D73F2"/>
    <w:rsid w:val="009E0049"/>
    <w:rsid w:val="00A028E3"/>
    <w:rsid w:val="00A5293C"/>
    <w:rsid w:val="00AD3363"/>
    <w:rsid w:val="00AF6297"/>
    <w:rsid w:val="00B041B4"/>
    <w:rsid w:val="00B55091"/>
    <w:rsid w:val="00B90076"/>
    <w:rsid w:val="00B969A1"/>
    <w:rsid w:val="00BA279F"/>
    <w:rsid w:val="00BB53DD"/>
    <w:rsid w:val="00BC4981"/>
    <w:rsid w:val="00C203BF"/>
    <w:rsid w:val="00C301B0"/>
    <w:rsid w:val="00C30FD9"/>
    <w:rsid w:val="00C50781"/>
    <w:rsid w:val="00C60F7D"/>
    <w:rsid w:val="00C72F7C"/>
    <w:rsid w:val="00C8659F"/>
    <w:rsid w:val="00CA5E0A"/>
    <w:rsid w:val="00CD443A"/>
    <w:rsid w:val="00CF6363"/>
    <w:rsid w:val="00D41F27"/>
    <w:rsid w:val="00E163DB"/>
    <w:rsid w:val="00E40F9D"/>
    <w:rsid w:val="00E8018D"/>
    <w:rsid w:val="00E90B8F"/>
    <w:rsid w:val="00EC7768"/>
    <w:rsid w:val="00EC7985"/>
    <w:rsid w:val="00ED735A"/>
    <w:rsid w:val="00F540F9"/>
    <w:rsid w:val="00F95E5A"/>
    <w:rsid w:val="00FA6B89"/>
    <w:rsid w:val="00FF28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F61D2"/>
  <w15:chartTrackingRefBased/>
  <w15:docId w15:val="{1A71E0BD-2158-44B5-B85E-2C66F622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464"/>
  </w:style>
  <w:style w:type="paragraph" w:styleId="Heading1">
    <w:name w:val="heading 1"/>
    <w:basedOn w:val="Normal"/>
    <w:next w:val="Normal"/>
    <w:link w:val="Heading1Char"/>
    <w:uiPriority w:val="9"/>
    <w:qFormat/>
    <w:rsid w:val="001972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245"/>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BA2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A6B89"/>
    <w:rPr>
      <w:color w:val="0563C1" w:themeColor="hyperlink"/>
      <w:u w:val="single"/>
    </w:rPr>
  </w:style>
  <w:style w:type="character" w:styleId="UnresolvedMention">
    <w:name w:val="Unresolved Mention"/>
    <w:basedOn w:val="DefaultParagraphFont"/>
    <w:uiPriority w:val="99"/>
    <w:semiHidden/>
    <w:unhideWhenUsed/>
    <w:rsid w:val="00FA6B89"/>
    <w:rPr>
      <w:color w:val="605E5C"/>
      <w:shd w:val="clear" w:color="auto" w:fill="E1DFDD"/>
    </w:rPr>
  </w:style>
  <w:style w:type="paragraph" w:styleId="Header">
    <w:name w:val="header"/>
    <w:basedOn w:val="Normal"/>
    <w:link w:val="HeaderChar"/>
    <w:uiPriority w:val="99"/>
    <w:unhideWhenUsed/>
    <w:rsid w:val="00FF2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859"/>
  </w:style>
  <w:style w:type="paragraph" w:styleId="Footer">
    <w:name w:val="footer"/>
    <w:basedOn w:val="Normal"/>
    <w:link w:val="FooterChar"/>
    <w:uiPriority w:val="99"/>
    <w:unhideWhenUsed/>
    <w:rsid w:val="00FF2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859"/>
  </w:style>
  <w:style w:type="character" w:styleId="CommentReference">
    <w:name w:val="annotation reference"/>
    <w:basedOn w:val="DefaultParagraphFont"/>
    <w:uiPriority w:val="99"/>
    <w:semiHidden/>
    <w:unhideWhenUsed/>
    <w:rsid w:val="00B90076"/>
    <w:rPr>
      <w:sz w:val="16"/>
      <w:szCs w:val="16"/>
    </w:rPr>
  </w:style>
  <w:style w:type="paragraph" w:styleId="CommentText">
    <w:name w:val="annotation text"/>
    <w:basedOn w:val="Normal"/>
    <w:link w:val="CommentTextChar"/>
    <w:uiPriority w:val="99"/>
    <w:semiHidden/>
    <w:unhideWhenUsed/>
    <w:rsid w:val="00B90076"/>
    <w:pPr>
      <w:spacing w:line="240" w:lineRule="auto"/>
    </w:pPr>
    <w:rPr>
      <w:sz w:val="20"/>
      <w:szCs w:val="20"/>
    </w:rPr>
  </w:style>
  <w:style w:type="character" w:customStyle="1" w:styleId="CommentTextChar">
    <w:name w:val="Comment Text Char"/>
    <w:basedOn w:val="DefaultParagraphFont"/>
    <w:link w:val="CommentText"/>
    <w:uiPriority w:val="99"/>
    <w:semiHidden/>
    <w:rsid w:val="00B90076"/>
    <w:rPr>
      <w:sz w:val="20"/>
      <w:szCs w:val="20"/>
    </w:rPr>
  </w:style>
  <w:style w:type="paragraph" w:styleId="CommentSubject">
    <w:name w:val="annotation subject"/>
    <w:basedOn w:val="CommentText"/>
    <w:next w:val="CommentText"/>
    <w:link w:val="CommentSubjectChar"/>
    <w:uiPriority w:val="99"/>
    <w:semiHidden/>
    <w:unhideWhenUsed/>
    <w:rsid w:val="00B90076"/>
    <w:rPr>
      <w:b/>
      <w:bCs/>
    </w:rPr>
  </w:style>
  <w:style w:type="character" w:customStyle="1" w:styleId="CommentSubjectChar">
    <w:name w:val="Comment Subject Char"/>
    <w:basedOn w:val="CommentTextChar"/>
    <w:link w:val="CommentSubject"/>
    <w:uiPriority w:val="99"/>
    <w:semiHidden/>
    <w:rsid w:val="00B900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19293">
      <w:bodyDiv w:val="1"/>
      <w:marLeft w:val="0"/>
      <w:marRight w:val="0"/>
      <w:marTop w:val="0"/>
      <w:marBottom w:val="0"/>
      <w:divBdr>
        <w:top w:val="none" w:sz="0" w:space="0" w:color="auto"/>
        <w:left w:val="none" w:sz="0" w:space="0" w:color="auto"/>
        <w:bottom w:val="none" w:sz="0" w:space="0" w:color="auto"/>
        <w:right w:val="none" w:sz="0" w:space="0" w:color="auto"/>
      </w:divBdr>
    </w:div>
    <w:div w:id="2024472720">
      <w:bodyDiv w:val="1"/>
      <w:marLeft w:val="0"/>
      <w:marRight w:val="0"/>
      <w:marTop w:val="0"/>
      <w:marBottom w:val="0"/>
      <w:divBdr>
        <w:top w:val="none" w:sz="0" w:space="0" w:color="auto"/>
        <w:left w:val="none" w:sz="0" w:space="0" w:color="auto"/>
        <w:bottom w:val="none" w:sz="0" w:space="0" w:color="auto"/>
        <w:right w:val="none" w:sz="0" w:space="0" w:color="auto"/>
      </w:divBdr>
      <w:divsChild>
        <w:div w:id="2096856425">
          <w:marLeft w:val="0"/>
          <w:marRight w:val="0"/>
          <w:marTop w:val="0"/>
          <w:marBottom w:val="0"/>
          <w:divBdr>
            <w:top w:val="none" w:sz="0" w:space="0" w:color="auto"/>
            <w:left w:val="none" w:sz="0" w:space="0" w:color="auto"/>
            <w:bottom w:val="none" w:sz="0" w:space="0" w:color="auto"/>
            <w:right w:val="none" w:sz="0" w:space="0" w:color="auto"/>
          </w:divBdr>
        </w:div>
        <w:div w:id="1695111080">
          <w:marLeft w:val="0"/>
          <w:marRight w:val="0"/>
          <w:marTop w:val="0"/>
          <w:marBottom w:val="0"/>
          <w:divBdr>
            <w:top w:val="none" w:sz="0" w:space="0" w:color="auto"/>
            <w:left w:val="none" w:sz="0" w:space="0" w:color="auto"/>
            <w:bottom w:val="none" w:sz="0" w:space="0" w:color="auto"/>
            <w:right w:val="none" w:sz="0" w:space="0" w:color="auto"/>
          </w:divBdr>
        </w:div>
        <w:div w:id="1492797657">
          <w:marLeft w:val="0"/>
          <w:marRight w:val="0"/>
          <w:marTop w:val="0"/>
          <w:marBottom w:val="0"/>
          <w:divBdr>
            <w:top w:val="none" w:sz="0" w:space="0" w:color="auto"/>
            <w:left w:val="none" w:sz="0" w:space="0" w:color="auto"/>
            <w:bottom w:val="none" w:sz="0" w:space="0" w:color="auto"/>
            <w:right w:val="none" w:sz="0" w:space="0" w:color="auto"/>
          </w:divBdr>
        </w:div>
        <w:div w:id="1401828223">
          <w:marLeft w:val="0"/>
          <w:marRight w:val="0"/>
          <w:marTop w:val="0"/>
          <w:marBottom w:val="0"/>
          <w:divBdr>
            <w:top w:val="none" w:sz="0" w:space="0" w:color="auto"/>
            <w:left w:val="none" w:sz="0" w:space="0" w:color="auto"/>
            <w:bottom w:val="none" w:sz="0" w:space="0" w:color="auto"/>
            <w:right w:val="none" w:sz="0" w:space="0" w:color="auto"/>
          </w:divBdr>
        </w:div>
        <w:div w:id="437873567">
          <w:marLeft w:val="0"/>
          <w:marRight w:val="0"/>
          <w:marTop w:val="0"/>
          <w:marBottom w:val="0"/>
          <w:divBdr>
            <w:top w:val="none" w:sz="0" w:space="0" w:color="auto"/>
            <w:left w:val="none" w:sz="0" w:space="0" w:color="auto"/>
            <w:bottom w:val="none" w:sz="0" w:space="0" w:color="auto"/>
            <w:right w:val="none" w:sz="0" w:space="0" w:color="auto"/>
          </w:divBdr>
        </w:div>
        <w:div w:id="1592355043">
          <w:marLeft w:val="0"/>
          <w:marRight w:val="0"/>
          <w:marTop w:val="0"/>
          <w:marBottom w:val="0"/>
          <w:divBdr>
            <w:top w:val="none" w:sz="0" w:space="0" w:color="auto"/>
            <w:left w:val="none" w:sz="0" w:space="0" w:color="auto"/>
            <w:bottom w:val="none" w:sz="0" w:space="0" w:color="auto"/>
            <w:right w:val="none" w:sz="0" w:space="0" w:color="auto"/>
          </w:divBdr>
        </w:div>
        <w:div w:id="106513943">
          <w:marLeft w:val="0"/>
          <w:marRight w:val="0"/>
          <w:marTop w:val="0"/>
          <w:marBottom w:val="0"/>
          <w:divBdr>
            <w:top w:val="none" w:sz="0" w:space="0" w:color="auto"/>
            <w:left w:val="none" w:sz="0" w:space="0" w:color="auto"/>
            <w:bottom w:val="none" w:sz="0" w:space="0" w:color="auto"/>
            <w:right w:val="none" w:sz="0" w:space="0" w:color="auto"/>
          </w:divBdr>
        </w:div>
        <w:div w:id="1887180891">
          <w:marLeft w:val="0"/>
          <w:marRight w:val="0"/>
          <w:marTop w:val="0"/>
          <w:marBottom w:val="0"/>
          <w:divBdr>
            <w:top w:val="none" w:sz="0" w:space="0" w:color="auto"/>
            <w:left w:val="none" w:sz="0" w:space="0" w:color="auto"/>
            <w:bottom w:val="none" w:sz="0" w:space="0" w:color="auto"/>
            <w:right w:val="none" w:sz="0" w:space="0" w:color="auto"/>
          </w:divBdr>
        </w:div>
        <w:div w:id="1878347637">
          <w:marLeft w:val="0"/>
          <w:marRight w:val="0"/>
          <w:marTop w:val="0"/>
          <w:marBottom w:val="0"/>
          <w:divBdr>
            <w:top w:val="none" w:sz="0" w:space="0" w:color="auto"/>
            <w:left w:val="none" w:sz="0" w:space="0" w:color="auto"/>
            <w:bottom w:val="none" w:sz="0" w:space="0" w:color="auto"/>
            <w:right w:val="none" w:sz="0" w:space="0" w:color="auto"/>
          </w:divBdr>
        </w:div>
        <w:div w:id="1225482147">
          <w:marLeft w:val="0"/>
          <w:marRight w:val="0"/>
          <w:marTop w:val="0"/>
          <w:marBottom w:val="0"/>
          <w:divBdr>
            <w:top w:val="none" w:sz="0" w:space="0" w:color="auto"/>
            <w:left w:val="none" w:sz="0" w:space="0" w:color="auto"/>
            <w:bottom w:val="none" w:sz="0" w:space="0" w:color="auto"/>
            <w:right w:val="none" w:sz="0" w:space="0" w:color="auto"/>
          </w:divBdr>
        </w:div>
        <w:div w:id="626163429">
          <w:marLeft w:val="0"/>
          <w:marRight w:val="0"/>
          <w:marTop w:val="0"/>
          <w:marBottom w:val="0"/>
          <w:divBdr>
            <w:top w:val="none" w:sz="0" w:space="0" w:color="auto"/>
            <w:left w:val="none" w:sz="0" w:space="0" w:color="auto"/>
            <w:bottom w:val="none" w:sz="0" w:space="0" w:color="auto"/>
            <w:right w:val="none" w:sz="0" w:space="0" w:color="auto"/>
          </w:divBdr>
        </w:div>
        <w:div w:id="924648445">
          <w:marLeft w:val="0"/>
          <w:marRight w:val="0"/>
          <w:marTop w:val="0"/>
          <w:marBottom w:val="0"/>
          <w:divBdr>
            <w:top w:val="none" w:sz="0" w:space="0" w:color="auto"/>
            <w:left w:val="none" w:sz="0" w:space="0" w:color="auto"/>
            <w:bottom w:val="none" w:sz="0" w:space="0" w:color="auto"/>
            <w:right w:val="none" w:sz="0" w:space="0" w:color="auto"/>
          </w:divBdr>
        </w:div>
        <w:div w:id="362360880">
          <w:marLeft w:val="0"/>
          <w:marRight w:val="0"/>
          <w:marTop w:val="0"/>
          <w:marBottom w:val="0"/>
          <w:divBdr>
            <w:top w:val="none" w:sz="0" w:space="0" w:color="auto"/>
            <w:left w:val="none" w:sz="0" w:space="0" w:color="auto"/>
            <w:bottom w:val="none" w:sz="0" w:space="0" w:color="auto"/>
            <w:right w:val="none" w:sz="0" w:space="0" w:color="auto"/>
          </w:divBdr>
        </w:div>
        <w:div w:id="750543874">
          <w:marLeft w:val="0"/>
          <w:marRight w:val="0"/>
          <w:marTop w:val="0"/>
          <w:marBottom w:val="0"/>
          <w:divBdr>
            <w:top w:val="none" w:sz="0" w:space="0" w:color="auto"/>
            <w:left w:val="none" w:sz="0" w:space="0" w:color="auto"/>
            <w:bottom w:val="none" w:sz="0" w:space="0" w:color="auto"/>
            <w:right w:val="none" w:sz="0" w:space="0" w:color="auto"/>
          </w:divBdr>
        </w:div>
        <w:div w:id="1297298731">
          <w:marLeft w:val="0"/>
          <w:marRight w:val="0"/>
          <w:marTop w:val="0"/>
          <w:marBottom w:val="0"/>
          <w:divBdr>
            <w:top w:val="none" w:sz="0" w:space="0" w:color="auto"/>
            <w:left w:val="none" w:sz="0" w:space="0" w:color="auto"/>
            <w:bottom w:val="none" w:sz="0" w:space="0" w:color="auto"/>
            <w:right w:val="none" w:sz="0" w:space="0" w:color="auto"/>
          </w:divBdr>
        </w:div>
        <w:div w:id="1537305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ungm.org/Public/Notice/17789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b799ec2-212c-48b5-b7ff-d14ec6cbce2b" xsi:nil="true"/>
    <lcf76f155ced4ddcb4097134ff3c332f xmlns="f8ef70f3-4e3d-42be-bd40-fbc1cacc15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6" ma:contentTypeDescription="Create a new document." ma:contentTypeScope="" ma:versionID="0657b5a51e525ba0e8d569308615f352">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105c959225eb4011e0a1e5134d837dfb"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4860af5-de39-4fac-b878-36f18daeb619}" ma:internalName="TaxCatchAll" ma:showField="CatchAllData" ma:web="5b799ec2-212c-48b5-b7ff-d14ec6cbce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93B3A2-80D0-4089-8E15-6A316A4E131A}">
  <ds:schemaRefs>
    <ds:schemaRef ds:uri="http://schemas.microsoft.com/sharepoint/v3/contenttype/forms"/>
  </ds:schemaRefs>
</ds:datastoreItem>
</file>

<file path=customXml/itemProps2.xml><?xml version="1.0" encoding="utf-8"?>
<ds:datastoreItem xmlns:ds="http://schemas.openxmlformats.org/officeDocument/2006/customXml" ds:itemID="{8EF50192-C97E-4067-9230-4B5B4025A784}">
  <ds:schemaRefs>
    <ds:schemaRef ds:uri="http://schemas.microsoft.com/office/2006/metadata/properties"/>
    <ds:schemaRef ds:uri="http://schemas.microsoft.com/office/infopath/2007/PartnerControls"/>
    <ds:schemaRef ds:uri="5b799ec2-212c-48b5-b7ff-d14ec6cbce2b"/>
    <ds:schemaRef ds:uri="f8ef70f3-4e3d-42be-bd40-fbc1cacc1519"/>
  </ds:schemaRefs>
</ds:datastoreItem>
</file>

<file path=customXml/itemProps3.xml><?xml version="1.0" encoding="utf-8"?>
<ds:datastoreItem xmlns:ds="http://schemas.openxmlformats.org/officeDocument/2006/customXml" ds:itemID="{887CD48C-16F3-449C-9313-EA37F9083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1343</Words>
  <Characters>7389</Characters>
  <Application>Microsoft Office Word</Application>
  <DocSecurity>0</DocSecurity>
  <Lines>61</Lines>
  <Paragraphs>17</Paragraphs>
  <ScaleCrop>false</ScaleCrop>
  <HeadingPairs>
    <vt:vector size="6" baseType="variant">
      <vt:variant>
        <vt:lpstr>Title</vt:lpstr>
      </vt:variant>
      <vt:variant>
        <vt:i4>1</vt:i4>
      </vt:variant>
      <vt:variant>
        <vt:lpstr>Título</vt:lpstr>
      </vt:variant>
      <vt:variant>
        <vt:i4>1</vt:i4>
      </vt:variant>
      <vt:variant>
        <vt:lpstr>Títulos</vt:lpstr>
      </vt:variant>
      <vt:variant>
        <vt:i4>1</vt:i4>
      </vt:variant>
    </vt:vector>
  </HeadingPairs>
  <TitlesOfParts>
    <vt:vector size="3" baseType="lpstr">
      <vt:lpstr/>
      <vt:lpstr/>
      <vt:lpstr/>
    </vt:vector>
  </TitlesOfParts>
  <Company>UNESCO</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Diaz, Estefania</dc:creator>
  <cp:keywords/>
  <dc:description/>
  <cp:lastModifiedBy>Golini, Veronica</cp:lastModifiedBy>
  <cp:revision>3</cp:revision>
  <dcterms:created xsi:type="dcterms:W3CDTF">2022-08-02T07:22:00Z</dcterms:created>
  <dcterms:modified xsi:type="dcterms:W3CDTF">2022-08-02T07:30:00Z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y fmtid="{D5CDD505-2E9C-101B-9397-08002B2CF9AE}" pid="3" name="MediaServiceImageTags">
    <vt:lpwstr/>
  </property>
</Properties>
</file>