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DAAE" w14:textId="01160CC7" w:rsidR="001D2F09" w:rsidRPr="001D2F09" w:rsidRDefault="001D2F09" w:rsidP="001D2F09">
      <w:pPr>
        <w:rPr>
          <w:b/>
          <w:bCs/>
        </w:rPr>
      </w:pPr>
      <w:r w:rsidRPr="001D2F09">
        <w:rPr>
          <w:b/>
          <w:bCs/>
        </w:rPr>
        <w:t xml:space="preserve">Request for Proposals: </w:t>
      </w:r>
      <w:sdt>
        <w:sdtPr>
          <w:rPr>
            <w:b/>
            <w:bCs/>
          </w:rPr>
          <w:alias w:val="Bid Reference"/>
          <w:id w:val="-581145939"/>
          <w:dataBinding w:prefixMappings="xmlns:ns0='http://schemas.microsoft.com/office/2006/coverPageProps' " w:xpath="/ns0:CoverPageProperties[1]/ns0:Abstract[1]" w:storeItemID="{55AF091B-3C7A-41E3-B477-F2FDAA23CFDA}"/>
          <w:text/>
        </w:sdtPr>
        <w:sdtEndPr/>
        <w:sdtContent>
          <w:r w:rsidR="003F763E" w:rsidRPr="003F763E">
            <w:rPr>
              <w:b/>
              <w:bCs/>
            </w:rPr>
            <w:t>To conduct a scoping review of economic and financial analyses on women’s, children’s and adolescents’ health</w:t>
          </w:r>
        </w:sdtContent>
      </w:sdt>
    </w:p>
    <w:p w14:paraId="5A20710A" w14:textId="77777777" w:rsidR="001D2F09" w:rsidRPr="001D2F09" w:rsidRDefault="001D2F09" w:rsidP="001D2F09">
      <w:pPr>
        <w:rPr>
          <w:b/>
          <w:bCs/>
          <w:u w:val="single"/>
          <w:lang w:val="en-GB"/>
        </w:rPr>
      </w:pPr>
      <w:r w:rsidRPr="001D2F09">
        <w:rPr>
          <w:b/>
          <w:bCs/>
          <w:u w:val="single"/>
          <w:lang w:val="en-GB"/>
        </w:rPr>
        <w:t>Annex 7: Questions from Bidders</w:t>
      </w:r>
      <w:r w:rsidRPr="001D2F09">
        <w:rPr>
          <w:b/>
          <w:bCs/>
          <w:lang w:val="en-GB"/>
        </w:rPr>
        <w:t xml:space="preserve"> (Ref.</w:t>
      </w:r>
      <w:r w:rsidRPr="001D2F09">
        <w:rPr>
          <w:b/>
          <w:bCs/>
        </w:rPr>
        <w:t xml:space="preserve"> Paragraph </w:t>
      </w:r>
      <w:r w:rsidRPr="001D2F09">
        <w:rPr>
          <w:b/>
          <w:bCs/>
        </w:rPr>
        <w:fldChar w:fldCharType="begin"/>
      </w:r>
      <w:r w:rsidRPr="001D2F09">
        <w:rPr>
          <w:b/>
          <w:bCs/>
        </w:rPr>
        <w:instrText xml:space="preserve"> REF _Ref490146369 \r \h </w:instrText>
      </w:r>
      <w:r w:rsidRPr="001D2F09">
        <w:rPr>
          <w:b/>
          <w:bCs/>
        </w:rPr>
      </w:r>
      <w:r w:rsidRPr="001D2F09">
        <w:rPr>
          <w:b/>
          <w:bCs/>
        </w:rPr>
        <w:fldChar w:fldCharType="separate"/>
      </w:r>
      <w:r w:rsidRPr="001D2F09">
        <w:rPr>
          <w:b/>
          <w:bCs/>
        </w:rPr>
        <w:t>4.6</w:t>
      </w:r>
      <w:r w:rsidRPr="001D2F09">
        <w:rPr>
          <w:b/>
          <w:bCs/>
        </w:rPr>
        <w:fldChar w:fldCharType="end"/>
      </w:r>
      <w:r w:rsidRPr="001D2F09">
        <w:rPr>
          <w:b/>
          <w:bCs/>
          <w:lang w:val="en-GB"/>
        </w:rPr>
        <w:t>)</w:t>
      </w:r>
    </w:p>
    <w:p w14:paraId="299D61CA" w14:textId="77777777" w:rsidR="001D2F09" w:rsidRPr="001D2F09" w:rsidRDefault="001D2F09" w:rsidP="001D2F09">
      <w:pPr>
        <w:rPr>
          <w:b/>
          <w:bCs/>
          <w:lang w:val="en-GB"/>
        </w:rPr>
      </w:pPr>
    </w:p>
    <w:tbl>
      <w:tblPr>
        <w:tblW w:w="9960" w:type="dxa"/>
        <w:jc w:val="center"/>
        <w:tblLook w:val="04A0" w:firstRow="1" w:lastRow="0" w:firstColumn="1" w:lastColumn="0" w:noHBand="0" w:noVBand="1"/>
      </w:tblPr>
      <w:tblGrid>
        <w:gridCol w:w="840"/>
        <w:gridCol w:w="2300"/>
        <w:gridCol w:w="6820"/>
      </w:tblGrid>
      <w:tr w:rsidR="001D2F09" w14:paraId="757798A9" w14:textId="77777777" w:rsidTr="001D2F09">
        <w:trPr>
          <w:trHeight w:val="525"/>
          <w:jc w:val="center"/>
        </w:trPr>
        <w:tc>
          <w:tcPr>
            <w:tcW w:w="840" w:type="dxa"/>
            <w:tcBorders>
              <w:top w:val="single" w:sz="4" w:space="0" w:color="auto"/>
              <w:left w:val="single" w:sz="4" w:space="0" w:color="auto"/>
              <w:bottom w:val="single" w:sz="4" w:space="0" w:color="auto"/>
              <w:right w:val="single" w:sz="4" w:space="0" w:color="auto"/>
            </w:tcBorders>
            <w:noWrap/>
            <w:vAlign w:val="center"/>
            <w:hideMark/>
          </w:tcPr>
          <w:p w14:paraId="78CEDED6" w14:textId="77777777" w:rsidR="001D2F09" w:rsidRDefault="001D2F09">
            <w:pPr>
              <w:jc w:val="center"/>
              <w:rPr>
                <w:rFonts w:cs="Arial"/>
                <w:b/>
                <w:bCs/>
                <w:szCs w:val="20"/>
                <w:lang w:val="en-GB" w:eastAsia="zh-CN"/>
              </w:rPr>
            </w:pPr>
            <w:r>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noWrap/>
            <w:vAlign w:val="center"/>
            <w:hideMark/>
          </w:tcPr>
          <w:p w14:paraId="3347C249" w14:textId="77777777" w:rsidR="001D2F09" w:rsidRDefault="001D2F09">
            <w:pPr>
              <w:jc w:val="center"/>
              <w:rPr>
                <w:rFonts w:cs="Arial"/>
                <w:b/>
                <w:bCs/>
                <w:szCs w:val="20"/>
                <w:lang w:val="en-GB" w:eastAsia="zh-CN"/>
              </w:rPr>
            </w:pPr>
            <w:r>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noWrap/>
            <w:vAlign w:val="center"/>
            <w:hideMark/>
          </w:tcPr>
          <w:p w14:paraId="62F53ED0" w14:textId="77777777" w:rsidR="001D2F09" w:rsidRDefault="001D2F09">
            <w:pPr>
              <w:jc w:val="center"/>
              <w:rPr>
                <w:rFonts w:cs="Arial"/>
                <w:b/>
                <w:bCs/>
                <w:szCs w:val="20"/>
                <w:lang w:val="en-GB" w:eastAsia="zh-CN"/>
              </w:rPr>
            </w:pPr>
            <w:r>
              <w:rPr>
                <w:rFonts w:cs="Arial"/>
                <w:b/>
                <w:bCs/>
                <w:szCs w:val="20"/>
                <w:lang w:val="en-GB" w:eastAsia="zh-CN"/>
              </w:rPr>
              <w:t>Question</w:t>
            </w:r>
          </w:p>
        </w:tc>
      </w:tr>
      <w:tr w:rsidR="001D2F09" w14:paraId="6BDEE0FD"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08288934" w14:textId="77777777" w:rsidR="001D2F09" w:rsidRDefault="001D2F09">
            <w:pPr>
              <w:jc w:val="center"/>
              <w:rPr>
                <w:rFonts w:cs="Arial"/>
                <w:szCs w:val="20"/>
                <w:lang w:val="en-GB" w:eastAsia="zh-CN"/>
              </w:rPr>
            </w:pPr>
            <w:r>
              <w:rPr>
                <w:rFonts w:cs="Arial"/>
                <w:szCs w:val="20"/>
                <w:lang w:val="en-GB" w:eastAsia="zh-CN"/>
              </w:rPr>
              <w:t>1</w:t>
            </w:r>
          </w:p>
        </w:tc>
        <w:tc>
          <w:tcPr>
            <w:tcW w:w="2300" w:type="dxa"/>
            <w:tcBorders>
              <w:top w:val="nil"/>
              <w:left w:val="nil"/>
              <w:bottom w:val="single" w:sz="4" w:space="0" w:color="auto"/>
              <w:right w:val="single" w:sz="4" w:space="0" w:color="auto"/>
            </w:tcBorders>
            <w:noWrap/>
            <w:vAlign w:val="center"/>
            <w:hideMark/>
          </w:tcPr>
          <w:p w14:paraId="16244278" w14:textId="1387B798" w:rsidR="001D2F09" w:rsidRDefault="001D2F09">
            <w:pPr>
              <w:rPr>
                <w:rFonts w:cs="Arial"/>
                <w:szCs w:val="20"/>
                <w:lang w:val="en-GB" w:eastAsia="zh-CN"/>
              </w:rPr>
            </w:pPr>
            <w:r>
              <w:rPr>
                <w:rFonts w:cs="Arial"/>
                <w:szCs w:val="20"/>
                <w:lang w:val="en-GB" w:eastAsia="zh-CN"/>
              </w:rPr>
              <w:t>2.1</w:t>
            </w:r>
          </w:p>
        </w:tc>
        <w:tc>
          <w:tcPr>
            <w:tcW w:w="6820" w:type="dxa"/>
            <w:tcBorders>
              <w:top w:val="nil"/>
              <w:left w:val="nil"/>
              <w:bottom w:val="single" w:sz="4" w:space="0" w:color="auto"/>
              <w:right w:val="single" w:sz="4" w:space="0" w:color="auto"/>
            </w:tcBorders>
            <w:noWrap/>
            <w:vAlign w:val="center"/>
            <w:hideMark/>
          </w:tcPr>
          <w:p w14:paraId="1EC33609" w14:textId="77777777" w:rsidR="001D2F09" w:rsidRDefault="001D2F09">
            <w:pPr>
              <w:rPr>
                <w:b/>
                <w:bCs/>
              </w:rPr>
            </w:pPr>
            <w:r w:rsidRPr="000E4939">
              <w:rPr>
                <w:b/>
                <w:bCs/>
              </w:rPr>
              <w:t>Is the rapid scoping review available?</w:t>
            </w:r>
          </w:p>
          <w:p w14:paraId="6A193A22" w14:textId="1BB2B42C" w:rsidR="003207E6" w:rsidRPr="003207E6" w:rsidRDefault="003207E6" w:rsidP="003207E6">
            <w:r w:rsidRPr="003207E6">
              <w:t>We will make the key findings available across the categories and domains identified in the rapid scoping review but not the write-up. We will also share all of the output documents of the rapid scoping review, namely the search strategy, data abstraction tool, preliminary findings and the Excel spreadsheet containing 504 peer-reviewed studies and almost 60 grey literature studies.</w:t>
            </w:r>
          </w:p>
          <w:p w14:paraId="64D81A38" w14:textId="77777777" w:rsidR="003207E6" w:rsidRPr="003207E6" w:rsidRDefault="003207E6" w:rsidP="003207E6">
            <w:r w:rsidRPr="003207E6">
              <w:t>Moving forward, there’s a need to expand the existing data and assess thoroughly the search strategy for validity, re-run the searches and expand the existing databases. In addition, we would like to receive updated graphs and visuals to capture the findings of the final scoping review.</w:t>
            </w:r>
          </w:p>
          <w:p w14:paraId="0816C060" w14:textId="38F4A034" w:rsidR="003207E6" w:rsidRPr="001D2F09" w:rsidRDefault="003207E6" w:rsidP="003207E6">
            <w:pPr>
              <w:rPr>
                <w:b/>
                <w:bCs/>
              </w:rPr>
            </w:pPr>
            <w:r w:rsidRPr="003207E6">
              <w:t xml:space="preserve">Last but not least, it is worth reaffirming that the existing findings are based on a search strategy that focuses on abstracts only while this final scoping review is intended to </w:t>
            </w:r>
            <w:proofErr w:type="spellStart"/>
            <w:r w:rsidRPr="003207E6">
              <w:t>analyse</w:t>
            </w:r>
            <w:proofErr w:type="spellEnd"/>
            <w:r w:rsidRPr="003207E6">
              <w:t xml:space="preserve"> the full text of the studies that will be retrieved according to the inclusion criteria</w:t>
            </w:r>
            <w:r>
              <w:t>.</w:t>
            </w:r>
          </w:p>
        </w:tc>
      </w:tr>
      <w:tr w:rsidR="001D2F09" w14:paraId="6EF6FA92"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606A3A00" w14:textId="77777777" w:rsidR="001D2F09" w:rsidRDefault="001D2F09">
            <w:pPr>
              <w:jc w:val="center"/>
              <w:rPr>
                <w:rFonts w:cs="Arial"/>
                <w:szCs w:val="20"/>
                <w:lang w:val="en-GB" w:eastAsia="zh-CN"/>
              </w:rPr>
            </w:pPr>
            <w:r>
              <w:rPr>
                <w:rFonts w:cs="Arial"/>
                <w:szCs w:val="20"/>
                <w:lang w:val="en-GB" w:eastAsia="zh-CN"/>
              </w:rPr>
              <w:t>2</w:t>
            </w:r>
          </w:p>
        </w:tc>
        <w:tc>
          <w:tcPr>
            <w:tcW w:w="2300" w:type="dxa"/>
            <w:tcBorders>
              <w:top w:val="nil"/>
              <w:left w:val="nil"/>
              <w:bottom w:val="single" w:sz="4" w:space="0" w:color="auto"/>
              <w:right w:val="single" w:sz="4" w:space="0" w:color="auto"/>
            </w:tcBorders>
            <w:noWrap/>
            <w:vAlign w:val="center"/>
            <w:hideMark/>
          </w:tcPr>
          <w:p w14:paraId="66400803" w14:textId="4F33107B" w:rsidR="001D2F09" w:rsidRDefault="001D2F09">
            <w:pPr>
              <w:rPr>
                <w:rFonts w:cs="Arial"/>
                <w:szCs w:val="20"/>
                <w:lang w:val="en-GB" w:eastAsia="zh-CN"/>
              </w:rPr>
            </w:pPr>
            <w:r>
              <w:rPr>
                <w:rFonts w:cs="Arial"/>
                <w:szCs w:val="20"/>
                <w:lang w:val="en-GB" w:eastAsia="zh-CN"/>
              </w:rPr>
              <w:t>3.3.1</w:t>
            </w:r>
          </w:p>
        </w:tc>
        <w:tc>
          <w:tcPr>
            <w:tcW w:w="6820" w:type="dxa"/>
            <w:tcBorders>
              <w:top w:val="nil"/>
              <w:left w:val="nil"/>
              <w:bottom w:val="single" w:sz="4" w:space="0" w:color="auto"/>
              <w:right w:val="single" w:sz="4" w:space="0" w:color="auto"/>
            </w:tcBorders>
            <w:noWrap/>
            <w:vAlign w:val="center"/>
            <w:hideMark/>
          </w:tcPr>
          <w:p w14:paraId="7C27A7CD" w14:textId="77777777" w:rsidR="001D2F09" w:rsidRDefault="001D2F09">
            <w:pPr>
              <w:rPr>
                <w:b/>
                <w:bCs/>
              </w:rPr>
            </w:pPr>
            <w:r w:rsidRPr="00C02A0A">
              <w:rPr>
                <w:b/>
                <w:bCs/>
              </w:rPr>
              <w:t>Have you considered that expanding the analysis to additional databases would lead to identifying several thousand studies? Is this what PMNCH is expecting?</w:t>
            </w:r>
          </w:p>
          <w:p w14:paraId="41803827" w14:textId="14181DA0" w:rsidR="003207E6" w:rsidRPr="003207E6" w:rsidRDefault="003207E6" w:rsidP="003207E6">
            <w:r w:rsidRPr="003207E6">
              <w:t>Our inclusion and exclusion criteria are quite strict. As part of the request for proposal, we expect that the different bidders assess the approach used by the University of Calgary and include in their application an estimate of what is going to take in terms of workload and capacity to ensure that the delivery timelines are clear and agreed upon.</w:t>
            </w:r>
          </w:p>
        </w:tc>
      </w:tr>
      <w:tr w:rsidR="001D2F09" w14:paraId="38DCFA51"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13F79B0B" w14:textId="77777777" w:rsidR="001D2F09" w:rsidRDefault="001D2F09">
            <w:pPr>
              <w:jc w:val="center"/>
              <w:rPr>
                <w:rFonts w:cs="Arial"/>
                <w:szCs w:val="20"/>
                <w:lang w:val="en-GB" w:eastAsia="zh-CN"/>
              </w:rPr>
            </w:pPr>
            <w:r>
              <w:rPr>
                <w:rFonts w:cs="Arial"/>
                <w:szCs w:val="20"/>
                <w:lang w:val="en-GB" w:eastAsia="zh-CN"/>
              </w:rPr>
              <w:t>3</w:t>
            </w:r>
          </w:p>
        </w:tc>
        <w:tc>
          <w:tcPr>
            <w:tcW w:w="2300" w:type="dxa"/>
            <w:tcBorders>
              <w:top w:val="nil"/>
              <w:left w:val="nil"/>
              <w:bottom w:val="single" w:sz="4" w:space="0" w:color="auto"/>
              <w:right w:val="single" w:sz="4" w:space="0" w:color="auto"/>
            </w:tcBorders>
            <w:noWrap/>
            <w:vAlign w:val="center"/>
            <w:hideMark/>
          </w:tcPr>
          <w:p w14:paraId="1D03ACF8" w14:textId="54B0A6DD" w:rsidR="001D2F09" w:rsidRDefault="001D2F09">
            <w:pPr>
              <w:rPr>
                <w:rFonts w:cs="Times New Roman"/>
                <w:szCs w:val="24"/>
                <w:lang w:val="en-GB" w:eastAsia="zh-CN"/>
              </w:rPr>
            </w:pPr>
            <w:r>
              <w:rPr>
                <w:rFonts w:cs="Arial"/>
                <w:szCs w:val="20"/>
                <w:lang w:val="en-GB" w:eastAsia="zh-CN"/>
              </w:rPr>
              <w:t>3.3.1</w:t>
            </w:r>
          </w:p>
        </w:tc>
        <w:tc>
          <w:tcPr>
            <w:tcW w:w="6820" w:type="dxa"/>
            <w:tcBorders>
              <w:top w:val="nil"/>
              <w:left w:val="nil"/>
              <w:bottom w:val="single" w:sz="4" w:space="0" w:color="auto"/>
              <w:right w:val="single" w:sz="4" w:space="0" w:color="auto"/>
            </w:tcBorders>
            <w:noWrap/>
            <w:vAlign w:val="center"/>
            <w:hideMark/>
          </w:tcPr>
          <w:p w14:paraId="329E5E1B" w14:textId="77777777" w:rsidR="001D2F09" w:rsidRDefault="001D2F09">
            <w:pPr>
              <w:rPr>
                <w:b/>
                <w:bCs/>
              </w:rPr>
            </w:pPr>
            <w:r w:rsidRPr="001E7D29">
              <w:rPr>
                <w:b/>
                <w:bCs/>
              </w:rPr>
              <w:t>We are cognizant that PMNCH is keen to receive the findings of the scoping review to present for Universal Health Coverage Day (12 Dec 2022). While an interim output (e.g., preliminary findings) would be feasible, a final piece would need more time. Is there flexibility on this?</w:t>
            </w:r>
          </w:p>
          <w:p w14:paraId="310F73DF" w14:textId="1DD1F5EF" w:rsidR="003207E6" w:rsidRPr="003207E6" w:rsidRDefault="003207E6" w:rsidP="003207E6">
            <w:pPr>
              <w:jc w:val="both"/>
            </w:pPr>
            <w:r w:rsidRPr="003207E6">
              <w:t xml:space="preserve">We are keen to receive preliminary findings for UHC Day in December 2022 indeed and are certainly open to discussing the full review delivery in 2023. However, while the delivery timing is an important aspect, proposals will </w:t>
            </w:r>
            <w:r w:rsidRPr="003207E6">
              <w:lastRenderedPageBreak/>
              <w:t>also be assessed based on several other aspects, including value for money and the competitiveness of the project submitted.</w:t>
            </w:r>
          </w:p>
        </w:tc>
      </w:tr>
      <w:tr w:rsidR="001D2F09" w14:paraId="45CAD57B"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107BDA22" w14:textId="77777777" w:rsidR="001D2F09" w:rsidRDefault="001D2F09">
            <w:pPr>
              <w:jc w:val="center"/>
              <w:rPr>
                <w:rFonts w:cs="Arial"/>
                <w:szCs w:val="20"/>
                <w:lang w:val="en-GB" w:eastAsia="zh-CN"/>
              </w:rPr>
            </w:pPr>
            <w:r>
              <w:rPr>
                <w:rFonts w:cs="Arial"/>
                <w:szCs w:val="20"/>
                <w:lang w:val="en-GB" w:eastAsia="zh-CN"/>
              </w:rPr>
              <w:lastRenderedPageBreak/>
              <w:t>4</w:t>
            </w:r>
          </w:p>
        </w:tc>
        <w:tc>
          <w:tcPr>
            <w:tcW w:w="2300" w:type="dxa"/>
            <w:tcBorders>
              <w:top w:val="nil"/>
              <w:left w:val="nil"/>
              <w:bottom w:val="single" w:sz="4" w:space="0" w:color="auto"/>
              <w:right w:val="single" w:sz="4" w:space="0" w:color="auto"/>
            </w:tcBorders>
            <w:noWrap/>
            <w:vAlign w:val="center"/>
            <w:hideMark/>
          </w:tcPr>
          <w:p w14:paraId="7A6C029F" w14:textId="494FAEB2" w:rsidR="001D2F09" w:rsidRDefault="001D2F09">
            <w:pPr>
              <w:rPr>
                <w:rFonts w:cs="Times New Roman"/>
                <w:szCs w:val="24"/>
                <w:lang w:val="en-GB" w:eastAsia="zh-CN"/>
              </w:rPr>
            </w:pPr>
            <w:r>
              <w:rPr>
                <w:rFonts w:cs="Arial"/>
                <w:szCs w:val="20"/>
                <w:lang w:val="en-GB" w:eastAsia="zh-CN"/>
              </w:rPr>
              <w:t>3.3.1</w:t>
            </w:r>
          </w:p>
        </w:tc>
        <w:tc>
          <w:tcPr>
            <w:tcW w:w="6820" w:type="dxa"/>
            <w:tcBorders>
              <w:top w:val="nil"/>
              <w:left w:val="nil"/>
              <w:bottom w:val="single" w:sz="4" w:space="0" w:color="auto"/>
              <w:right w:val="single" w:sz="4" w:space="0" w:color="auto"/>
            </w:tcBorders>
            <w:noWrap/>
            <w:vAlign w:val="center"/>
            <w:hideMark/>
          </w:tcPr>
          <w:p w14:paraId="67861B92" w14:textId="77777777" w:rsidR="001D2F09" w:rsidRDefault="001D2F09">
            <w:pPr>
              <w:rPr>
                <w:b/>
                <w:bCs/>
              </w:rPr>
            </w:pPr>
            <w:r w:rsidRPr="00D83FB6">
              <w:rPr>
                <w:b/>
                <w:bCs/>
              </w:rPr>
              <w:t xml:space="preserve">When was the search strategy completed? Traditionally the search strategy is carried out one year before the submission of the work. </w:t>
            </w:r>
          </w:p>
          <w:p w14:paraId="1CAD776A" w14:textId="2A4E8BBB" w:rsidR="003207E6" w:rsidRPr="003207E6" w:rsidRDefault="003207E6">
            <w:r w:rsidRPr="003207E6">
              <w:t>It was completed in December 2021. We expect the updated search strategy to be run in the summer of 2022.</w:t>
            </w:r>
          </w:p>
        </w:tc>
      </w:tr>
      <w:tr w:rsidR="001D2F09" w14:paraId="0030CA93"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116C9D76" w14:textId="77777777" w:rsidR="001D2F09" w:rsidRDefault="001D2F09">
            <w:pPr>
              <w:jc w:val="center"/>
              <w:rPr>
                <w:rFonts w:cs="Arial"/>
                <w:szCs w:val="20"/>
                <w:lang w:val="en-GB" w:eastAsia="zh-CN"/>
              </w:rPr>
            </w:pPr>
            <w:r>
              <w:rPr>
                <w:rFonts w:cs="Arial"/>
                <w:szCs w:val="20"/>
                <w:lang w:val="en-GB" w:eastAsia="zh-CN"/>
              </w:rPr>
              <w:t>5</w:t>
            </w:r>
          </w:p>
        </w:tc>
        <w:tc>
          <w:tcPr>
            <w:tcW w:w="2300" w:type="dxa"/>
            <w:tcBorders>
              <w:top w:val="nil"/>
              <w:left w:val="nil"/>
              <w:bottom w:val="single" w:sz="4" w:space="0" w:color="auto"/>
              <w:right w:val="single" w:sz="4" w:space="0" w:color="auto"/>
            </w:tcBorders>
            <w:noWrap/>
            <w:vAlign w:val="center"/>
            <w:hideMark/>
          </w:tcPr>
          <w:p w14:paraId="0EE1802D" w14:textId="6A96109D" w:rsidR="001D2F09" w:rsidRDefault="001D2F09">
            <w:pPr>
              <w:rPr>
                <w:rFonts w:cs="Times New Roman"/>
                <w:szCs w:val="24"/>
                <w:lang w:val="en-GB" w:eastAsia="zh-CN"/>
              </w:rPr>
            </w:pPr>
            <w:r>
              <w:rPr>
                <w:rFonts w:cs="Times New Roman"/>
                <w:szCs w:val="24"/>
                <w:lang w:val="en-GB" w:eastAsia="zh-CN"/>
              </w:rPr>
              <w:t>3.3.1</w:t>
            </w:r>
          </w:p>
        </w:tc>
        <w:tc>
          <w:tcPr>
            <w:tcW w:w="6820" w:type="dxa"/>
            <w:tcBorders>
              <w:top w:val="nil"/>
              <w:left w:val="nil"/>
              <w:bottom w:val="single" w:sz="4" w:space="0" w:color="auto"/>
              <w:right w:val="single" w:sz="4" w:space="0" w:color="auto"/>
            </w:tcBorders>
            <w:noWrap/>
            <w:vAlign w:val="center"/>
            <w:hideMark/>
          </w:tcPr>
          <w:p w14:paraId="6CDE17D6" w14:textId="77777777" w:rsidR="003207E6" w:rsidRDefault="001D2F09">
            <w:r w:rsidRPr="00D83FB6">
              <w:rPr>
                <w:b/>
                <w:bCs/>
              </w:rPr>
              <w:t xml:space="preserve">Methodologically, scoping reviews </w:t>
            </w:r>
            <w:r>
              <w:rPr>
                <w:b/>
                <w:bCs/>
              </w:rPr>
              <w:t>do not require</w:t>
            </w:r>
            <w:r w:rsidRPr="00D83FB6">
              <w:rPr>
                <w:b/>
                <w:bCs/>
              </w:rPr>
              <w:t xml:space="preserve"> </w:t>
            </w:r>
            <w:r>
              <w:rPr>
                <w:b/>
                <w:bCs/>
              </w:rPr>
              <w:t xml:space="preserve">a </w:t>
            </w:r>
            <w:r w:rsidRPr="00D83FB6">
              <w:rPr>
                <w:b/>
                <w:bCs/>
              </w:rPr>
              <w:t>quality appraisal.</w:t>
            </w:r>
            <w:r>
              <w:rPr>
                <w:b/>
                <w:bCs/>
              </w:rPr>
              <w:t xml:space="preserve"> Why have you chosen to include the appraisal in the Request for Proposal?</w:t>
            </w:r>
            <w:r w:rsidR="003207E6">
              <w:t xml:space="preserve"> </w:t>
            </w:r>
          </w:p>
          <w:p w14:paraId="7BFEFCAF" w14:textId="2DC5FB96" w:rsidR="003207E6" w:rsidRPr="003207E6" w:rsidRDefault="003207E6">
            <w:r w:rsidRPr="003207E6">
              <w:t>The critical appraisal is an integral part of the Request for Proposal because we would like to use the body of evidence to build a digital compendium and to showcase strong economic and financial analyses in the space of SRMNCAH services and social protection. We don’t want to showcase poor-quality studies but robust evidence for policy planning.</w:t>
            </w:r>
          </w:p>
        </w:tc>
      </w:tr>
      <w:tr w:rsidR="001D2F09" w14:paraId="59C2E627"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6AD82CC3" w14:textId="77777777" w:rsidR="001D2F09" w:rsidRDefault="001D2F09">
            <w:pPr>
              <w:jc w:val="center"/>
              <w:rPr>
                <w:rFonts w:cs="Arial"/>
                <w:szCs w:val="20"/>
                <w:lang w:val="en-GB" w:eastAsia="zh-CN"/>
              </w:rPr>
            </w:pPr>
            <w:r>
              <w:rPr>
                <w:rFonts w:cs="Arial"/>
                <w:szCs w:val="20"/>
                <w:lang w:val="en-GB" w:eastAsia="zh-CN"/>
              </w:rPr>
              <w:t>6</w:t>
            </w:r>
          </w:p>
        </w:tc>
        <w:tc>
          <w:tcPr>
            <w:tcW w:w="2300" w:type="dxa"/>
            <w:tcBorders>
              <w:top w:val="nil"/>
              <w:left w:val="nil"/>
              <w:bottom w:val="single" w:sz="4" w:space="0" w:color="auto"/>
              <w:right w:val="single" w:sz="4" w:space="0" w:color="auto"/>
            </w:tcBorders>
            <w:noWrap/>
            <w:vAlign w:val="center"/>
            <w:hideMark/>
          </w:tcPr>
          <w:p w14:paraId="023A1A00" w14:textId="3B2B068C" w:rsidR="001D2F09" w:rsidRDefault="00183FA6">
            <w:pPr>
              <w:rPr>
                <w:rFonts w:cs="Times New Roman"/>
                <w:szCs w:val="24"/>
                <w:lang w:val="en-GB" w:eastAsia="zh-CN"/>
              </w:rPr>
            </w:pPr>
            <w:r>
              <w:rPr>
                <w:rFonts w:cs="Arial"/>
                <w:szCs w:val="20"/>
                <w:lang w:val="en-GB" w:eastAsia="zh-CN"/>
              </w:rPr>
              <w:t>3.3.1</w:t>
            </w:r>
          </w:p>
        </w:tc>
        <w:tc>
          <w:tcPr>
            <w:tcW w:w="6820" w:type="dxa"/>
            <w:tcBorders>
              <w:top w:val="nil"/>
              <w:left w:val="nil"/>
              <w:bottom w:val="single" w:sz="4" w:space="0" w:color="auto"/>
              <w:right w:val="single" w:sz="4" w:space="0" w:color="auto"/>
            </w:tcBorders>
            <w:noWrap/>
            <w:vAlign w:val="center"/>
            <w:hideMark/>
          </w:tcPr>
          <w:p w14:paraId="51F07067" w14:textId="77777777" w:rsidR="001D2F09" w:rsidRDefault="001D2F09">
            <w:pPr>
              <w:rPr>
                <w:b/>
                <w:bCs/>
              </w:rPr>
            </w:pPr>
            <w:r w:rsidRPr="00D83FB6">
              <w:rPr>
                <w:b/>
                <w:bCs/>
              </w:rPr>
              <w:t>While a number of tools to capture economic and financial analyses exist, I am not aware of the existence of such tools for investment cases. Would the development of such tools be part of the scoping review?</w:t>
            </w:r>
          </w:p>
          <w:p w14:paraId="0A0415BF" w14:textId="095F755D" w:rsidR="003207E6" w:rsidRPr="003207E6" w:rsidRDefault="003207E6">
            <w:r w:rsidRPr="003207E6">
              <w:t>This is true for a number of fields. We need to rely on the validated tools for the existing studies and identify some limitations of the approach in the critical appraisal. While it would be quite interesting, there’s no time and scope unfortunately to support the development of new tools where they don’t exist.</w:t>
            </w:r>
          </w:p>
        </w:tc>
      </w:tr>
      <w:tr w:rsidR="001D2F09" w14:paraId="3881991D"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2504459F" w14:textId="77777777" w:rsidR="001D2F09" w:rsidRDefault="001D2F09">
            <w:pPr>
              <w:jc w:val="center"/>
              <w:rPr>
                <w:rFonts w:cs="Arial"/>
                <w:szCs w:val="20"/>
                <w:lang w:val="en-GB" w:eastAsia="zh-CN"/>
              </w:rPr>
            </w:pPr>
            <w:r>
              <w:rPr>
                <w:rFonts w:cs="Arial"/>
                <w:szCs w:val="20"/>
                <w:lang w:val="en-GB" w:eastAsia="zh-CN"/>
              </w:rPr>
              <w:t>7</w:t>
            </w:r>
          </w:p>
        </w:tc>
        <w:tc>
          <w:tcPr>
            <w:tcW w:w="2300" w:type="dxa"/>
            <w:tcBorders>
              <w:top w:val="nil"/>
              <w:left w:val="nil"/>
              <w:bottom w:val="single" w:sz="4" w:space="0" w:color="auto"/>
              <w:right w:val="single" w:sz="4" w:space="0" w:color="auto"/>
            </w:tcBorders>
            <w:noWrap/>
            <w:vAlign w:val="center"/>
            <w:hideMark/>
          </w:tcPr>
          <w:p w14:paraId="2FEF98B0" w14:textId="5F1A5C09" w:rsidR="001D2F09" w:rsidRDefault="00183FA6">
            <w:pPr>
              <w:rPr>
                <w:rFonts w:cs="Times New Roman"/>
                <w:szCs w:val="24"/>
                <w:lang w:val="en-GB" w:eastAsia="zh-CN"/>
              </w:rPr>
            </w:pPr>
            <w:r>
              <w:rPr>
                <w:rFonts w:cs="Times New Roman"/>
                <w:szCs w:val="24"/>
                <w:lang w:val="en-GB" w:eastAsia="zh-CN"/>
              </w:rPr>
              <w:t>3.3.3</w:t>
            </w:r>
          </w:p>
        </w:tc>
        <w:tc>
          <w:tcPr>
            <w:tcW w:w="6820" w:type="dxa"/>
            <w:tcBorders>
              <w:top w:val="nil"/>
              <w:left w:val="nil"/>
              <w:bottom w:val="single" w:sz="4" w:space="0" w:color="auto"/>
              <w:right w:val="single" w:sz="4" w:space="0" w:color="auto"/>
            </w:tcBorders>
            <w:noWrap/>
            <w:vAlign w:val="center"/>
            <w:hideMark/>
          </w:tcPr>
          <w:p w14:paraId="440E8FEF" w14:textId="77777777" w:rsidR="001D2F09" w:rsidRDefault="001D2F09">
            <w:pPr>
              <w:rPr>
                <w:b/>
                <w:bCs/>
              </w:rPr>
            </w:pPr>
            <w:r w:rsidRPr="004D1AFA">
              <w:rPr>
                <w:b/>
                <w:bCs/>
              </w:rPr>
              <w:t>Is PMNCH planning on making a decision by end of June 2022?</w:t>
            </w:r>
          </w:p>
          <w:p w14:paraId="15C16D0F" w14:textId="12AE20E0" w:rsidR="003207E6" w:rsidRPr="003207E6" w:rsidRDefault="003207E6">
            <w:r w:rsidRPr="003207E6">
              <w:t xml:space="preserve">Yes, this is our ambition, namely assessing the different bids very quickly as this process may take some weeks to </w:t>
            </w:r>
            <w:proofErr w:type="spellStart"/>
            <w:r w:rsidRPr="003207E6">
              <w:t>finalise</w:t>
            </w:r>
            <w:proofErr w:type="spellEnd"/>
            <w:r w:rsidRPr="003207E6">
              <w:t xml:space="preserve">. </w:t>
            </w:r>
          </w:p>
        </w:tc>
      </w:tr>
      <w:tr w:rsidR="001D2F09" w14:paraId="1C17F722"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5EDBBE02" w14:textId="77777777" w:rsidR="001D2F09" w:rsidRDefault="001D2F09">
            <w:pPr>
              <w:jc w:val="center"/>
              <w:rPr>
                <w:rFonts w:cs="Arial"/>
                <w:szCs w:val="20"/>
                <w:lang w:val="en-GB" w:eastAsia="zh-CN"/>
              </w:rPr>
            </w:pPr>
            <w:r>
              <w:rPr>
                <w:rFonts w:cs="Arial"/>
                <w:szCs w:val="20"/>
                <w:lang w:val="en-GB" w:eastAsia="zh-CN"/>
              </w:rPr>
              <w:t>8</w:t>
            </w:r>
          </w:p>
        </w:tc>
        <w:tc>
          <w:tcPr>
            <w:tcW w:w="2300" w:type="dxa"/>
            <w:tcBorders>
              <w:top w:val="nil"/>
              <w:left w:val="nil"/>
              <w:bottom w:val="single" w:sz="4" w:space="0" w:color="auto"/>
              <w:right w:val="single" w:sz="4" w:space="0" w:color="auto"/>
            </w:tcBorders>
            <w:noWrap/>
            <w:vAlign w:val="center"/>
            <w:hideMark/>
          </w:tcPr>
          <w:p w14:paraId="2F152FB7" w14:textId="0D28F6E0" w:rsidR="001D2F09" w:rsidRDefault="00183FA6">
            <w:pPr>
              <w:rPr>
                <w:rFonts w:cs="Times New Roman"/>
                <w:szCs w:val="24"/>
                <w:lang w:val="en-GB" w:eastAsia="zh-CN"/>
              </w:rPr>
            </w:pPr>
            <w:r>
              <w:rPr>
                <w:rFonts w:cs="Times New Roman"/>
                <w:szCs w:val="24"/>
                <w:lang w:val="en-GB" w:eastAsia="zh-CN"/>
              </w:rPr>
              <w:t>Appendix 1-2</w:t>
            </w:r>
          </w:p>
        </w:tc>
        <w:tc>
          <w:tcPr>
            <w:tcW w:w="6820" w:type="dxa"/>
            <w:tcBorders>
              <w:top w:val="nil"/>
              <w:left w:val="nil"/>
              <w:bottom w:val="single" w:sz="4" w:space="0" w:color="auto"/>
              <w:right w:val="single" w:sz="4" w:space="0" w:color="auto"/>
            </w:tcBorders>
            <w:noWrap/>
            <w:vAlign w:val="center"/>
            <w:hideMark/>
          </w:tcPr>
          <w:p w14:paraId="55CEDAAC" w14:textId="77777777" w:rsidR="001D2F09" w:rsidRDefault="001D2F09">
            <w:pPr>
              <w:rPr>
                <w:b/>
                <w:bCs/>
              </w:rPr>
            </w:pPr>
            <w:r w:rsidRPr="00713378">
              <w:rPr>
                <w:b/>
                <w:bCs/>
              </w:rPr>
              <w:t>Could you please clarify the inclusion criteria for economic analyses?</w:t>
            </w:r>
          </w:p>
          <w:p w14:paraId="5AD442EA" w14:textId="7043F75F" w:rsidR="003207E6" w:rsidRPr="003207E6" w:rsidRDefault="003207E6" w:rsidP="003207E6">
            <w:r w:rsidRPr="003207E6">
              <w:t>We are interested in exploring health benefits stretching beyond the health sector and that the search strategy applies a multi-sectoral lens. If there are studies on the education sector with outcomes on health and well-being, they should be included. Equally important, we won’t include studies that merely focus on the costing component without showing the benefits of specific interventions or packages of interventions. This is because we would like to use evidence for advocacy, which is the key function of PMNCH.</w:t>
            </w:r>
          </w:p>
        </w:tc>
      </w:tr>
      <w:tr w:rsidR="001D2F09" w14:paraId="5DD6B8E4" w14:textId="77777777" w:rsidTr="001D2F09">
        <w:trPr>
          <w:trHeight w:val="525"/>
          <w:jc w:val="center"/>
        </w:trPr>
        <w:tc>
          <w:tcPr>
            <w:tcW w:w="840" w:type="dxa"/>
            <w:tcBorders>
              <w:top w:val="nil"/>
              <w:left w:val="single" w:sz="4" w:space="0" w:color="auto"/>
              <w:bottom w:val="single" w:sz="4" w:space="0" w:color="auto"/>
              <w:right w:val="single" w:sz="4" w:space="0" w:color="auto"/>
            </w:tcBorders>
            <w:noWrap/>
            <w:vAlign w:val="center"/>
            <w:hideMark/>
          </w:tcPr>
          <w:p w14:paraId="5E708AF2" w14:textId="77777777" w:rsidR="001D2F09" w:rsidRDefault="001D2F09">
            <w:pPr>
              <w:jc w:val="center"/>
              <w:rPr>
                <w:rFonts w:cs="Arial"/>
                <w:szCs w:val="20"/>
                <w:lang w:val="en-GB" w:eastAsia="zh-CN"/>
              </w:rPr>
            </w:pPr>
            <w:r>
              <w:rPr>
                <w:rFonts w:cs="Arial"/>
                <w:szCs w:val="20"/>
                <w:lang w:val="en-GB" w:eastAsia="zh-CN"/>
              </w:rPr>
              <w:t>9</w:t>
            </w:r>
          </w:p>
        </w:tc>
        <w:tc>
          <w:tcPr>
            <w:tcW w:w="2300" w:type="dxa"/>
            <w:tcBorders>
              <w:top w:val="nil"/>
              <w:left w:val="nil"/>
              <w:bottom w:val="single" w:sz="4" w:space="0" w:color="auto"/>
              <w:right w:val="single" w:sz="4" w:space="0" w:color="auto"/>
            </w:tcBorders>
            <w:noWrap/>
            <w:vAlign w:val="center"/>
            <w:hideMark/>
          </w:tcPr>
          <w:p w14:paraId="1E8F5D94" w14:textId="72AEA8A7" w:rsidR="001D2F09" w:rsidRDefault="00183FA6">
            <w:pPr>
              <w:rPr>
                <w:rFonts w:cs="Arial"/>
                <w:szCs w:val="20"/>
                <w:lang w:val="en-GB" w:eastAsia="zh-CN"/>
              </w:rPr>
            </w:pPr>
            <w:r>
              <w:rPr>
                <w:rFonts w:cs="Arial"/>
                <w:szCs w:val="20"/>
                <w:lang w:val="en-GB" w:eastAsia="zh-CN"/>
              </w:rPr>
              <w:t>3.3.2</w:t>
            </w:r>
          </w:p>
        </w:tc>
        <w:tc>
          <w:tcPr>
            <w:tcW w:w="6820" w:type="dxa"/>
            <w:tcBorders>
              <w:top w:val="nil"/>
              <w:left w:val="nil"/>
              <w:bottom w:val="single" w:sz="4" w:space="0" w:color="auto"/>
              <w:right w:val="single" w:sz="4" w:space="0" w:color="auto"/>
            </w:tcBorders>
            <w:noWrap/>
            <w:vAlign w:val="center"/>
            <w:hideMark/>
          </w:tcPr>
          <w:p w14:paraId="409B3A6C" w14:textId="77777777" w:rsidR="001D2F09" w:rsidRDefault="001D2F09">
            <w:pPr>
              <w:rPr>
                <w:b/>
                <w:bCs/>
              </w:rPr>
            </w:pPr>
            <w:r w:rsidRPr="00043E30">
              <w:rPr>
                <w:b/>
                <w:bCs/>
              </w:rPr>
              <w:t>Should we budget for travel to Geneva or will this exercise be entirely carried out from remote?</w:t>
            </w:r>
          </w:p>
          <w:p w14:paraId="7D05AD4F" w14:textId="3FD2166A" w:rsidR="003207E6" w:rsidRPr="003207E6" w:rsidRDefault="003207E6">
            <w:r w:rsidRPr="003207E6">
              <w:lastRenderedPageBreak/>
              <w:t>The Request for Proposal specifies that this is a home-based assignment. However, we don’t exclude inviting the lead of the winning bidder to present the results of the scoping review at our offices in Geneva should we resume in-person meetings.</w:t>
            </w:r>
          </w:p>
        </w:tc>
      </w:tr>
    </w:tbl>
    <w:p w14:paraId="7F54E1B0" w14:textId="79B2AB5C" w:rsidR="00713378" w:rsidRDefault="00713378"/>
    <w:p w14:paraId="7630B9FE" w14:textId="77777777" w:rsidR="00D83FB6" w:rsidRPr="00D83FB6" w:rsidRDefault="00D83FB6"/>
    <w:sectPr w:rsidR="00D83FB6" w:rsidRPr="00D83F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E0DD" w14:textId="77777777" w:rsidR="003207E6" w:rsidRDefault="003207E6" w:rsidP="003207E6">
      <w:pPr>
        <w:spacing w:after="0" w:line="240" w:lineRule="auto"/>
      </w:pPr>
      <w:r>
        <w:separator/>
      </w:r>
    </w:p>
  </w:endnote>
  <w:endnote w:type="continuationSeparator" w:id="0">
    <w:p w14:paraId="2E9850A7" w14:textId="77777777" w:rsidR="003207E6" w:rsidRDefault="003207E6" w:rsidP="00320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40C6F" w14:textId="77777777" w:rsidR="003207E6" w:rsidRDefault="003207E6" w:rsidP="003207E6">
      <w:pPr>
        <w:spacing w:after="0" w:line="240" w:lineRule="auto"/>
      </w:pPr>
      <w:r>
        <w:separator/>
      </w:r>
    </w:p>
  </w:footnote>
  <w:footnote w:type="continuationSeparator" w:id="0">
    <w:p w14:paraId="5F12CA35" w14:textId="77777777" w:rsidR="003207E6" w:rsidRDefault="003207E6" w:rsidP="003207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AD7"/>
    <w:rsid w:val="00043E30"/>
    <w:rsid w:val="00050AD7"/>
    <w:rsid w:val="00051894"/>
    <w:rsid w:val="000E4939"/>
    <w:rsid w:val="00183FA6"/>
    <w:rsid w:val="001D2F09"/>
    <w:rsid w:val="001E7D29"/>
    <w:rsid w:val="003207E6"/>
    <w:rsid w:val="0036318D"/>
    <w:rsid w:val="003E6459"/>
    <w:rsid w:val="003F763E"/>
    <w:rsid w:val="004D1AFA"/>
    <w:rsid w:val="00560D25"/>
    <w:rsid w:val="00713378"/>
    <w:rsid w:val="00AD5382"/>
    <w:rsid w:val="00C02A0A"/>
    <w:rsid w:val="00D8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BA876"/>
  <w15:chartTrackingRefBased/>
  <w15:docId w15:val="{4429EF51-E292-4747-BC3B-9C23B970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07E6"/>
    <w:rPr>
      <w:sz w:val="16"/>
      <w:szCs w:val="16"/>
    </w:rPr>
  </w:style>
  <w:style w:type="paragraph" w:styleId="CommentText">
    <w:name w:val="annotation text"/>
    <w:basedOn w:val="Normal"/>
    <w:link w:val="CommentTextChar"/>
    <w:uiPriority w:val="99"/>
    <w:semiHidden/>
    <w:unhideWhenUsed/>
    <w:rsid w:val="003207E6"/>
    <w:pPr>
      <w:spacing w:line="240" w:lineRule="auto"/>
    </w:pPr>
    <w:rPr>
      <w:sz w:val="20"/>
      <w:szCs w:val="20"/>
    </w:rPr>
  </w:style>
  <w:style w:type="character" w:customStyle="1" w:styleId="CommentTextChar">
    <w:name w:val="Comment Text Char"/>
    <w:basedOn w:val="DefaultParagraphFont"/>
    <w:link w:val="CommentText"/>
    <w:uiPriority w:val="99"/>
    <w:semiHidden/>
    <w:rsid w:val="003207E6"/>
    <w:rPr>
      <w:sz w:val="20"/>
      <w:szCs w:val="20"/>
    </w:rPr>
  </w:style>
  <w:style w:type="paragraph" w:styleId="CommentSubject">
    <w:name w:val="annotation subject"/>
    <w:basedOn w:val="CommentText"/>
    <w:next w:val="CommentText"/>
    <w:link w:val="CommentSubjectChar"/>
    <w:uiPriority w:val="99"/>
    <w:semiHidden/>
    <w:unhideWhenUsed/>
    <w:rsid w:val="003207E6"/>
    <w:rPr>
      <w:b/>
      <w:bCs/>
    </w:rPr>
  </w:style>
  <w:style w:type="character" w:customStyle="1" w:styleId="CommentSubjectChar">
    <w:name w:val="Comment Subject Char"/>
    <w:basedOn w:val="CommentTextChar"/>
    <w:link w:val="CommentSubject"/>
    <w:uiPriority w:val="99"/>
    <w:semiHidden/>
    <w:rsid w:val="003207E6"/>
    <w:rPr>
      <w:b/>
      <w:bCs/>
      <w:sz w:val="20"/>
      <w:szCs w:val="20"/>
    </w:rPr>
  </w:style>
  <w:style w:type="paragraph" w:styleId="EndnoteText">
    <w:name w:val="endnote text"/>
    <w:basedOn w:val="Normal"/>
    <w:link w:val="EndnoteTextChar"/>
    <w:uiPriority w:val="99"/>
    <w:semiHidden/>
    <w:unhideWhenUsed/>
    <w:rsid w:val="003207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07E6"/>
    <w:rPr>
      <w:sz w:val="20"/>
      <w:szCs w:val="20"/>
    </w:rPr>
  </w:style>
  <w:style w:type="character" w:styleId="EndnoteReference">
    <w:name w:val="endnote reference"/>
    <w:basedOn w:val="DefaultParagraphFont"/>
    <w:uiPriority w:val="99"/>
    <w:semiHidden/>
    <w:unhideWhenUsed/>
    <w:rsid w:val="003207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42128">
      <w:bodyDiv w:val="1"/>
      <w:marLeft w:val="0"/>
      <w:marRight w:val="0"/>
      <w:marTop w:val="0"/>
      <w:marBottom w:val="0"/>
      <w:divBdr>
        <w:top w:val="none" w:sz="0" w:space="0" w:color="auto"/>
        <w:left w:val="none" w:sz="0" w:space="0" w:color="auto"/>
        <w:bottom w:val="none" w:sz="0" w:space="0" w:color="auto"/>
        <w:right w:val="none" w:sz="0" w:space="0" w:color="auto"/>
      </w:divBdr>
    </w:div>
    <w:div w:id="986474279">
      <w:bodyDiv w:val="1"/>
      <w:marLeft w:val="0"/>
      <w:marRight w:val="0"/>
      <w:marTop w:val="0"/>
      <w:marBottom w:val="0"/>
      <w:divBdr>
        <w:top w:val="none" w:sz="0" w:space="0" w:color="auto"/>
        <w:left w:val="none" w:sz="0" w:space="0" w:color="auto"/>
        <w:bottom w:val="none" w:sz="0" w:space="0" w:color="auto"/>
        <w:right w:val="none" w:sz="0" w:space="0" w:color="auto"/>
      </w:divBdr>
    </w:div>
    <w:div w:id="1000085228">
      <w:bodyDiv w:val="1"/>
      <w:marLeft w:val="0"/>
      <w:marRight w:val="0"/>
      <w:marTop w:val="0"/>
      <w:marBottom w:val="0"/>
      <w:divBdr>
        <w:top w:val="none" w:sz="0" w:space="0" w:color="auto"/>
        <w:left w:val="none" w:sz="0" w:space="0" w:color="auto"/>
        <w:bottom w:val="none" w:sz="0" w:space="0" w:color="auto"/>
        <w:right w:val="none" w:sz="0" w:space="0" w:color="auto"/>
      </w:divBdr>
    </w:div>
    <w:div w:id="1079400473">
      <w:bodyDiv w:val="1"/>
      <w:marLeft w:val="0"/>
      <w:marRight w:val="0"/>
      <w:marTop w:val="0"/>
      <w:marBottom w:val="0"/>
      <w:divBdr>
        <w:top w:val="none" w:sz="0" w:space="0" w:color="auto"/>
        <w:left w:val="none" w:sz="0" w:space="0" w:color="auto"/>
        <w:bottom w:val="none" w:sz="0" w:space="0" w:color="auto"/>
        <w:right w:val="none" w:sz="0" w:space="0" w:color="auto"/>
      </w:divBdr>
    </w:div>
    <w:div w:id="16542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To conduct a scoping review of economic and financial analyses on women’s, children’s and adolescents’ health</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A7F809-94F0-4622-BB69-1BCA3952D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IAIA, Domenico Gerardo</dc:creator>
  <cp:keywords/>
  <dc:description/>
  <cp:lastModifiedBy>ANGHELESCU, Laura</cp:lastModifiedBy>
  <cp:revision>3</cp:revision>
  <dcterms:created xsi:type="dcterms:W3CDTF">2022-06-06T09:55:00Z</dcterms:created>
  <dcterms:modified xsi:type="dcterms:W3CDTF">2022-06-06T12:23:00Z</dcterms:modified>
</cp:coreProperties>
</file>