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620" w:right="0" w:hanging="36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RFP/2022/41644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320"/>
          <w:tab w:val="right" w:pos="8640"/>
          <w:tab w:val="left" w:pos="-1440"/>
          <w:tab w:val="left" w:pos="7200"/>
        </w:tabs>
        <w:spacing w:after="0" w:before="0" w:line="240" w:lineRule="auto"/>
        <w:ind w:left="142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-1440"/>
          <w:tab w:val="left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-1440"/>
          <w:tab w:val="left" w:pos="7200"/>
        </w:tabs>
        <w:spacing w:after="20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In the event of a Contract, the following General Conditions of Contract will apply: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144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1440" w:right="0" w:hanging="36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UNOPS General Conditions of Contract for the provision of Services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144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lightGray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200" w:before="0" w:line="276" w:lineRule="auto"/>
        <w:ind w:left="144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-1440"/>
          <w:tab w:val="left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The conditions are available at: </w:t>
      </w:r>
      <w:hyperlink r:id="rId7">
        <w:r w:rsidDel="00000000" w:rsidR="00000000" w:rsidRPr="00000000">
          <w:rPr>
            <w:rFonts w:ascii="Open Sans" w:cs="Open Sans" w:eastAsia="Open Sans" w:hAnsi="Open Sans"/>
            <w:color w:val="1155cc"/>
            <w:u w:val="single"/>
            <w:rtl w:val="0"/>
          </w:rPr>
          <w:t xml:space="preserve">https://www.unops.org/business-opportunities/how-we-procure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IV-3: UNOPS sample contract for</w:t>
      </w:r>
      <w:r w:rsidDel="00000000" w:rsidR="00000000" w:rsidRPr="00000000">
        <w:rPr>
          <w:rFonts w:ascii="Open Sans" w:cs="Open Sans" w:eastAsia="Open Sans" w:hAnsi="Open Sans"/>
          <w:b w:val="1"/>
          <w:color w:val="0095d1"/>
          <w:sz w:val="28"/>
          <w:szCs w:val="28"/>
          <w:rtl w:val="0"/>
        </w:rPr>
        <w:t xml:space="preserve"> Professional Services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The sample of the Contract for Professional Services template is included in this RFP by this reference and is attached as a separate PDF document.</w:t>
      </w:r>
    </w:p>
    <w:p w:rsidR="00000000" w:rsidDel="00000000" w:rsidP="00000000" w:rsidRDefault="00000000" w:rsidRPr="00000000" w14:paraId="00000011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Open Sans" w:cs="Open Sans" w:eastAsia="Open Sans" w:hAnsi="Open Sans"/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Open Sans" w:cs="Open Sans" w:eastAsia="Open Sans" w:hAnsi="Open Sans"/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Noto Sans Symbols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tabs>
        <w:tab w:val="left" w:pos="468"/>
        <w:tab w:val="right" w:pos="9753"/>
      </w:tabs>
      <w:ind w:left="-1440" w:firstLine="1440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ab/>
    </w:r>
  </w:p>
  <w:tbl>
    <w:tblPr>
      <w:tblStyle w:val="Table2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B">
    <w:pPr>
      <w:tabs>
        <w:tab w:val="left" w:pos="468"/>
        <w:tab w:val="right" w:pos="9753"/>
      </w:tabs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1"/>
      <w:tblW w:w="19778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gridCol w:w="9889"/>
      <w:tblGridChange w:id="0">
        <w:tblGrid>
          <w:gridCol w:w="9889"/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v20</w:t>
          </w:r>
          <w:r w:rsidDel="00000000" w:rsidR="00000000" w:rsidRPr="00000000">
            <w:rPr>
              <w:rFonts w:ascii="Open Sans" w:cs="Open Sans" w:eastAsia="Open Sans" w:hAnsi="Open Sans"/>
              <w:sz w:val="18"/>
              <w:szCs w:val="18"/>
              <w:rtl w:val="0"/>
            </w:rPr>
            <w:t xml:space="preserve">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RFP Ref No: </w:t>
          </w: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highlight w:val="yellow"/>
              <w:u w:val="none"/>
              <w:vertAlign w:val="baseline"/>
              <w:rtl w:val="0"/>
            </w:rPr>
            <w:t xml:space="preserve">xxx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business-opportunities/how-we-procure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9abkNyzFPWxcqMFshbypYJkvhw==">AMUW2mXTUi8jTrfj2YRI/UqBHSeHk3K7Z7wF1MdN5PVGni4LUNeR41nFGseTG/XQQDO9uLTx6znGux1T/GYG5xQVgV3NKaZ0nnRksrBzT8OBEjYRYTpt9ojF58jB9MBQoCEMFMvc4k3a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