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color w:val="000000"/>
          <w:sz w:val="20"/>
          <w:szCs w:val="20"/>
        </w:rPr>
      </w:pPr>
      <w:r w:rsidDel="00000000" w:rsidR="00000000" w:rsidRPr="00000000">
        <w:rPr>
          <w:color w:val="0092d1"/>
          <w:rtl w:val="0"/>
        </w:rPr>
        <w:t xml:space="preserve">Contract for Professional Services </w:t>
      </w:r>
      <w:r w:rsidDel="00000000" w:rsidR="00000000" w:rsidRPr="00000000">
        <w:rPr>
          <w:color w:val="0092d1"/>
          <w:highlight w:val="lightGray"/>
          <w:rtl w:val="0"/>
        </w:rPr>
        <w:t xml:space="preserve">[Contract reference and number]</w:t>
      </w:r>
      <w:r w:rsidDel="00000000" w:rsidR="00000000" w:rsidRPr="00000000">
        <w:rPr>
          <w:rtl w:val="0"/>
        </w:rPr>
      </w:r>
    </w:p>
    <w:p w:rsidR="00000000" w:rsidDel="00000000" w:rsidP="00000000" w:rsidRDefault="00000000" w:rsidRPr="00000000" w14:paraId="00000002">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implementation of certain services regarding [insert summary description of the services]. </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 later than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1E">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1F">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0">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1">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4; </w:t>
      </w:r>
    </w:p>
    <w:p w:rsidR="00000000" w:rsidDel="00000000" w:rsidP="00000000" w:rsidRDefault="00000000" w:rsidRPr="00000000" w14:paraId="00000022">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the services of the following key personnel:</w:t>
      </w:r>
      <w:r w:rsidDel="00000000" w:rsidR="00000000" w:rsidRPr="00000000">
        <w:rPr>
          <w:rtl w:val="0"/>
        </w:rPr>
      </w:r>
    </w:p>
    <w:p w:rsidR="00000000" w:rsidDel="00000000" w:rsidP="00000000" w:rsidRDefault="00000000" w:rsidRPr="00000000" w14:paraId="00000029">
      <w:pPr>
        <w:keepNext w:val="1"/>
        <w:ind w:left="709"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ab/>
        <w:t xml:space="preserve">Specialization</w:t>
        <w:tab/>
        <w:tab/>
        <w:t xml:space="preserve">Nationality</w:t>
        <w:tab/>
        <w:tab/>
        <w:t xml:space="preserve">Period of service </w:t>
      </w:r>
    </w:p>
    <w:p w:rsidR="00000000" w:rsidDel="00000000" w:rsidP="00000000" w:rsidRDefault="00000000" w:rsidRPr="00000000" w14:paraId="0000002A">
      <w:pPr>
        <w:keepNext w:val="1"/>
        <w:ind w:left="709" w:firstLine="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2B">
      <w:pPr>
        <w:keepNext w:val="1"/>
        <w:ind w:left="709" w:firstLine="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changes in the above key personnel shall require prior written approval of the Director, [insert name of Director] RO/OC UNOPS.</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the Services.</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to UNOPS the deliverables specified hereunder according to the following schedule: </w:t>
      </w:r>
      <w:r w:rsidDel="00000000" w:rsidR="00000000" w:rsidRPr="00000000">
        <w:rPr>
          <w:rtl w:val="0"/>
        </w:rPr>
      </w:r>
    </w:p>
    <w:p w:rsidR="00000000" w:rsidDel="00000000" w:rsidP="00000000" w:rsidRDefault="00000000" w:rsidRPr="00000000" w14:paraId="00000032">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3">
      <w:pPr>
        <w:ind w:left="709" w:firstLine="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b w:val="1"/>
          <w:color w:val="000000"/>
          <w:sz w:val="20"/>
          <w:szCs w:val="20"/>
          <w:highlight w:val="lightGray"/>
          <w:rtl w:val="0"/>
        </w:rPr>
        <w:t xml:space="preserve">LIST DELIVERABLES</w:t>
      </w:r>
      <w:r w:rsidDel="00000000" w:rsidR="00000000" w:rsidRPr="00000000">
        <w:rPr>
          <w:rFonts w:ascii="Arial" w:cs="Arial" w:eastAsia="Arial" w:hAnsi="Arial"/>
          <w:b w:val="1"/>
          <w:color w:val="000000"/>
          <w:sz w:val="20"/>
          <w:szCs w:val="20"/>
          <w:rtl w:val="0"/>
        </w:rPr>
        <w:t xml:space="preserve">]</w:t>
        <w:tab/>
        <w:t xml:space="preserve">[</w:t>
      </w:r>
      <w:r w:rsidDel="00000000" w:rsidR="00000000" w:rsidRPr="00000000">
        <w:rPr>
          <w:rFonts w:ascii="Arial" w:cs="Arial" w:eastAsia="Arial" w:hAnsi="Arial"/>
          <w:b w:val="1"/>
          <w:color w:val="000000"/>
          <w:sz w:val="20"/>
          <w:szCs w:val="20"/>
          <w:highlight w:val="lightGray"/>
          <w:rtl w:val="0"/>
        </w:rPr>
        <w:t xml:space="preserve">INDICATE DELIVERY DATES</w:t>
      </w:r>
      <w:r w:rsidDel="00000000" w:rsidR="00000000" w:rsidRPr="00000000">
        <w:rPr>
          <w:rFonts w:ascii="Arial" w:cs="Arial" w:eastAsia="Arial" w:hAnsi="Arial"/>
          <w:b w:val="1"/>
          <w:color w:val="000000"/>
          <w:sz w:val="20"/>
          <w:szCs w:val="20"/>
          <w:rtl w:val="0"/>
        </w:rPr>
        <w:t xml:space="preserve">]</w:t>
      </w:r>
      <w:r w:rsidDel="00000000" w:rsidR="00000000" w:rsidRPr="00000000">
        <w:rPr>
          <w:rtl w:val="0"/>
        </w:rPr>
      </w:r>
    </w:p>
    <w:p w:rsidR="00000000" w:rsidDel="00000000" w:rsidP="00000000" w:rsidRDefault="00000000" w:rsidRPr="00000000" w14:paraId="00000034">
      <w:pPr>
        <w:ind w:left="709"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5">
      <w:pPr>
        <w:ind w:left="709"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e.g.</w:t>
      </w:r>
    </w:p>
    <w:p w:rsidR="00000000" w:rsidDel="00000000" w:rsidP="00000000" w:rsidRDefault="00000000" w:rsidRPr="00000000" w14:paraId="00000036">
      <w:pPr>
        <w:ind w:left="709"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7">
      <w:pPr>
        <w:ind w:left="709"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Progress report</w:t>
        <w:tab/>
        <w:tab/>
        <w:t xml:space="preserve">../../....</w:t>
      </w:r>
    </w:p>
    <w:p w:rsidR="00000000" w:rsidDel="00000000" w:rsidP="00000000" w:rsidRDefault="00000000" w:rsidRPr="00000000" w14:paraId="00000038">
      <w:pPr>
        <w:ind w:left="709"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ab/>
        <w:t xml:space="preserve">...............</w:t>
        <w:tab/>
        <w:tab/>
        <w:t xml:space="preserve">../../....</w:t>
      </w:r>
    </w:p>
    <w:p w:rsidR="00000000" w:rsidDel="00000000" w:rsidP="00000000" w:rsidRDefault="00000000" w:rsidRPr="00000000" w14:paraId="00000039">
      <w:pPr>
        <w:ind w:left="709"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Final report</w:t>
        <w:tab/>
        <w:tab/>
        <w:t xml:space="preserve">../../....</w:t>
      </w:r>
    </w:p>
    <w:p w:rsidR="00000000" w:rsidDel="00000000" w:rsidP="00000000" w:rsidRDefault="00000000" w:rsidRPr="00000000" w14:paraId="0000003A">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B">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reports shall be written in the English language, and shall describe in detail the services rendered under the Contract during the period of time covered in such report. All reports shall be transmitted by the Contractor by </w:t>
      </w:r>
      <w:r w:rsidDel="00000000" w:rsidR="00000000" w:rsidRPr="00000000">
        <w:rPr>
          <w:rFonts w:ascii="Arial" w:cs="Arial" w:eastAsia="Arial" w:hAnsi="Arial"/>
          <w:sz w:val="20"/>
          <w:szCs w:val="20"/>
          <w:rtl w:val="0"/>
        </w:rPr>
        <w:t xml:space="preserve">email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the address specified in clause 6.1 below. </w:t>
      </w:r>
      <w:r w:rsidDel="00000000" w:rsidR="00000000" w:rsidRPr="00000000">
        <w:rPr>
          <w:rtl w:val="0"/>
        </w:rPr>
      </w:r>
    </w:p>
    <w:p w:rsidR="00000000" w:rsidDel="00000000" w:rsidP="00000000" w:rsidRDefault="00000000" w:rsidRPr="00000000" w14:paraId="0000003C">
      <w:pPr>
        <w:keepNext w:val="1"/>
        <w:keepLines w:val="1"/>
        <w:widowControl w:val="1"/>
        <w:numPr>
          <w:ilvl w:val="0"/>
          <w:numId w:val="2"/>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r w:rsidDel="00000000" w:rsidR="00000000" w:rsidRPr="00000000">
        <w:rPr>
          <w:rtl w:val="0"/>
        </w:rPr>
      </w:r>
    </w:p>
    <w:p w:rsidR="00000000" w:rsidDel="00000000" w:rsidP="00000000" w:rsidRDefault="00000000" w:rsidRPr="00000000" w14:paraId="0000003D">
      <w:pPr>
        <w:ind w:left="720" w:hanging="10.999999999999943"/>
        <w:jc w:val="both"/>
        <w:rPr>
          <w:rFonts w:ascii="Arial" w:cs="Arial" w:eastAsia="Arial" w:hAnsi="Arial"/>
          <w:b w:val="1"/>
          <w:color w:val="000000"/>
          <w:sz w:val="20"/>
          <w:szCs w:val="20"/>
          <w:highlight w:val="lightGray"/>
          <w:u w:val="single"/>
        </w:rPr>
      </w:pPr>
      <w:r w:rsidDel="00000000" w:rsidR="00000000" w:rsidRPr="00000000">
        <w:rPr>
          <w:rtl w:val="0"/>
        </w:rPr>
      </w:r>
    </w:p>
    <w:p w:rsidR="00000000" w:rsidDel="00000000" w:rsidP="00000000" w:rsidRDefault="00000000" w:rsidRPr="00000000" w14:paraId="0000003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price not to exceed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F">
      <w:pPr>
        <w:ind w:left="720" w:hanging="72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0">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contained in clause 5.1 above is the maximum total amount of reimbursable costs under this Contract. The Breakdown of Costs in Annex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Annex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contains the maximum amounts per cost category that are reimbursable under this Contract. The Contractor shall reflect in its original invoices the amount of the actual reimbursable costs incurred in the performance of the Services. </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Director]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RO/OC, UNOPS. </w:t>
      </w: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  </w:t>
      </w: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original invoices for the work done every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period of time or milestones]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83" w:right="0" w:firstLine="0"/>
        <w:jc w:val="both"/>
        <w:rPr>
          <w:rFonts w:ascii="Arial" w:cs="Arial" w:eastAsia="Arial" w:hAnsi="Arial"/>
          <w:color w:val="000000"/>
          <w:sz w:val="24"/>
          <w:szCs w:val="24"/>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8">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r w:rsidDel="00000000" w:rsidR="00000000" w:rsidRPr="00000000">
        <w:rPr>
          <w:rtl w:val="0"/>
        </w:rPr>
      </w:r>
    </w:p>
    <w:p w:rsidR="00000000" w:rsidDel="00000000" w:rsidP="00000000" w:rsidRDefault="00000000" w:rsidRPr="00000000" w14:paraId="00000049">
      <w:pPr>
        <w:keepNext w:val="1"/>
        <w:keepLines w:val="1"/>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C">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D">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4E">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F">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50">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51">
      <w:pPr>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5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53">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54">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55">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56">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57">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58">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59">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A">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5B">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C">
      <w:pPr>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5D">
      <w:pPr>
        <w:jc w:val="both"/>
        <w:rPr>
          <w:rFonts w:ascii="Arial" w:cs="Arial" w:eastAsia="Arial" w:hAnsi="Arial"/>
        </w:rPr>
      </w:pPr>
      <w:r w:rsidDel="00000000" w:rsidR="00000000" w:rsidRPr="00000000">
        <w:rPr>
          <w:rtl w:val="0"/>
        </w:rPr>
      </w:r>
    </w:p>
    <w:p w:rsidR="00000000" w:rsidDel="00000000" w:rsidP="00000000" w:rsidRDefault="00000000" w:rsidRPr="00000000" w14:paraId="0000005E">
      <w:pPr>
        <w:keepNext w:val="1"/>
        <w:keepLines w:val="1"/>
        <w:widowControl w:val="1"/>
        <w:numPr>
          <w:ilvl w:val="0"/>
          <w:numId w:val="4"/>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1"/>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6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6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pStyle w:val="Heading1"/>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76">
      <w:pPr>
        <w:pStyle w:val="Heading1"/>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77">
      <w:pPr>
        <w:pStyle w:val="Heading1"/>
        <w:rPr>
          <w:color w:val="0092d1"/>
        </w:rPr>
      </w:pPr>
      <w:bookmarkStart w:colFirst="0" w:colLast="0" w:name="_heading=h.gjdgxs" w:id="0"/>
      <w:bookmarkEnd w:id="0"/>
      <w:r w:rsidDel="00000000" w:rsidR="00000000" w:rsidRPr="00000000">
        <w:rPr>
          <w:b w:val="0"/>
          <w:color w:val="000000"/>
          <w:sz w:val="20"/>
          <w:szCs w:val="20"/>
          <w:rtl w:val="0"/>
        </w:rPr>
        <w:t xml:space="preserve">N/A</w:t>
      </w:r>
      <w:r w:rsidDel="00000000" w:rsidR="00000000" w:rsidRPr="00000000">
        <w:br w:type="page"/>
      </w:r>
      <w:r w:rsidDel="00000000" w:rsidR="00000000" w:rsidRPr="00000000">
        <w:rPr>
          <w:rtl w:val="0"/>
        </w:rPr>
      </w:r>
    </w:p>
    <w:p w:rsidR="00000000" w:rsidDel="00000000" w:rsidP="00000000" w:rsidRDefault="00000000" w:rsidRPr="00000000" w14:paraId="00000078">
      <w:pPr>
        <w:pStyle w:val="Heading1"/>
        <w:rPr>
          <w:color w:val="0092d1"/>
        </w:rPr>
      </w:pPr>
      <w:bookmarkStart w:colFirst="0" w:colLast="0" w:name="_heading=h.6fr10326gqhv" w:id="1"/>
      <w:bookmarkEnd w:id="1"/>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79">
      <w:pPr>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7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B">
      <w:pPr>
        <w:pStyle w:val="Heading1"/>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7C">
      <w:pPr>
        <w:pStyle w:val="Heading1"/>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7D">
      <w:pP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7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F">
      <w:pPr>
        <w:pStyle w:val="Heading1"/>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081">
      <w:pP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08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720" w:hanging="363"/>
      </w:pPr>
      <w:rPr>
        <w:rFonts w:ascii="Arial" w:cs="Arial" w:eastAsia="Arial" w:hAnsi="Arial"/>
        <w:b w:val="1"/>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4">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english/Opportunities/suppliers/how-we-procure/Pages/default.aspx"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yQpRmwZNG6QS7FyWtI/beRiIIg==">AMUW2mVSmRE54m6XEgDp2V5T/MtDRVwuRharrJzIiMij2G09uq1LNdWnrJ5a1r2DWRGNke2+WieTYe6/boBo8Tzo9S+4M+5alER06TpIbAfjyaZhQiJoP9VoWWYmb8dXrWnWUnyzmIr6vWYzjfrDWRzjwU5FmsiDUA==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