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Mar>
          <w:left w:w="0" w:type="dxa"/>
          <w:right w:w="0" w:type="dxa"/>
        </w:tblCellMar>
        <w:tblLook w:val="04A0" w:firstRow="1" w:lastRow="0" w:firstColumn="1" w:lastColumn="0" w:noHBand="0" w:noVBand="1"/>
      </w:tblPr>
      <w:tblGrid>
        <w:gridCol w:w="1740"/>
        <w:gridCol w:w="3619"/>
        <w:gridCol w:w="3981"/>
      </w:tblGrid>
      <w:tr w:rsidR="00FC2021" w14:paraId="6CBD6FE1" w14:textId="77777777" w:rsidTr="00FC2021">
        <w:tc>
          <w:tcPr>
            <w:tcW w:w="18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DBE45D" w14:textId="77777777" w:rsidR="00FC2021" w:rsidRDefault="00FC2021">
            <w:r>
              <w:t>Dimensions</w:t>
            </w:r>
          </w:p>
        </w:tc>
        <w:tc>
          <w:tcPr>
            <w:tcW w:w="65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D4B334" w14:textId="77777777" w:rsidR="00FC2021" w:rsidRDefault="00FC2021">
            <w:r>
              <w:t>Questions</w:t>
            </w:r>
          </w:p>
        </w:tc>
        <w:tc>
          <w:tcPr>
            <w:tcW w:w="64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EBAFA1" w14:textId="77777777" w:rsidR="00FC2021" w:rsidRDefault="00FC2021">
            <w:proofErr w:type="spellStart"/>
            <w:r>
              <w:t>Reponses</w:t>
            </w:r>
            <w:proofErr w:type="spellEnd"/>
          </w:p>
        </w:tc>
      </w:tr>
      <w:tr w:rsidR="00FC2021" w14:paraId="16E252E0"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79F404" w14:textId="77777777" w:rsidR="00FC2021" w:rsidRDefault="00FC2021">
            <w:r>
              <w:t>Echantillonnage</w:t>
            </w:r>
          </w:p>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73930468" w14:textId="77777777" w:rsidR="00FC2021" w:rsidRDefault="00FC2021">
            <w:pPr>
              <w:rPr>
                <w:color w:val="1F497D"/>
              </w:rPr>
            </w:pPr>
            <w:r>
              <w:rPr>
                <w:color w:val="1F497D"/>
              </w:rPr>
              <w:t xml:space="preserve">Par rapport au périmètre géographique, les missions de terrain pour l'évaluation du PC se concentreront-elles uniquement sur les régions </w:t>
            </w:r>
            <w:proofErr w:type="spellStart"/>
            <w:r>
              <w:rPr>
                <w:color w:val="1F497D"/>
              </w:rPr>
              <w:t>Anosy</w:t>
            </w:r>
            <w:proofErr w:type="spellEnd"/>
            <w:r>
              <w:rPr>
                <w:color w:val="1F497D"/>
              </w:rPr>
              <w:t xml:space="preserve">, </w:t>
            </w:r>
            <w:proofErr w:type="spellStart"/>
            <w:r>
              <w:rPr>
                <w:color w:val="1F497D"/>
              </w:rPr>
              <w:t>Androy</w:t>
            </w:r>
            <w:proofErr w:type="spellEnd"/>
            <w:r>
              <w:rPr>
                <w:color w:val="1F497D"/>
              </w:rPr>
              <w:t xml:space="preserve">, </w:t>
            </w:r>
            <w:proofErr w:type="spellStart"/>
            <w:r>
              <w:rPr>
                <w:color w:val="1F497D"/>
              </w:rPr>
              <w:t>Atsimo</w:t>
            </w:r>
            <w:proofErr w:type="spellEnd"/>
            <w:r>
              <w:rPr>
                <w:color w:val="1F497D"/>
              </w:rPr>
              <w:t xml:space="preserve"> </w:t>
            </w:r>
            <w:proofErr w:type="spellStart"/>
            <w:r>
              <w:rPr>
                <w:color w:val="1F497D"/>
              </w:rPr>
              <w:t>Andrefana</w:t>
            </w:r>
            <w:proofErr w:type="spellEnd"/>
            <w:r>
              <w:rPr>
                <w:color w:val="1F497D"/>
              </w:rPr>
              <w:t xml:space="preserve"> ou est-ce que les activités de classes de rattrapage au primaire dans les 22 Régions (</w:t>
            </w:r>
            <w:proofErr w:type="spellStart"/>
            <w:r>
              <w:rPr>
                <w:color w:val="1F497D"/>
              </w:rPr>
              <w:t>TdR</w:t>
            </w:r>
            <w:proofErr w:type="spellEnd"/>
            <w:r>
              <w:rPr>
                <w:color w:val="1F497D"/>
              </w:rPr>
              <w:t xml:space="preserve"> p. 16) sont également </w:t>
            </w:r>
            <w:proofErr w:type="gramStart"/>
            <w:r>
              <w:rPr>
                <w:color w:val="1F497D"/>
              </w:rPr>
              <w:t>concernées?</w:t>
            </w:r>
            <w:proofErr w:type="gramEnd"/>
          </w:p>
          <w:p w14:paraId="6A1D0A81"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tcPr>
          <w:p w14:paraId="7728F976" w14:textId="77777777" w:rsidR="00FC2021" w:rsidRDefault="00FC2021">
            <w:r>
              <w:t xml:space="preserve">Le choix appartient </w:t>
            </w:r>
            <w:proofErr w:type="spellStart"/>
            <w:r>
              <w:t>a</w:t>
            </w:r>
            <w:proofErr w:type="spellEnd"/>
            <w:r>
              <w:t xml:space="preserve"> l’</w:t>
            </w:r>
            <w:proofErr w:type="spellStart"/>
            <w:r>
              <w:t>equipe</w:t>
            </w:r>
            <w:proofErr w:type="spellEnd"/>
            <w:r>
              <w:t xml:space="preserve"> d’</w:t>
            </w:r>
            <w:proofErr w:type="spellStart"/>
            <w:r>
              <w:t>evaluateur</w:t>
            </w:r>
            <w:proofErr w:type="spellEnd"/>
            <w:r>
              <w:t xml:space="preserve">, dans l’offre technique un </w:t>
            </w:r>
            <w:proofErr w:type="spellStart"/>
            <w:r>
              <w:t>equilibre</w:t>
            </w:r>
            <w:proofErr w:type="spellEnd"/>
            <w:r>
              <w:t xml:space="preserve"> entre cout et profondeur d’investigation est </w:t>
            </w:r>
            <w:proofErr w:type="spellStart"/>
            <w:proofErr w:type="gramStart"/>
            <w:r>
              <w:t>a</w:t>
            </w:r>
            <w:proofErr w:type="spellEnd"/>
            <w:proofErr w:type="gramEnd"/>
            <w:r>
              <w:t xml:space="preserve"> trouver généralement. Sur la base de la liste des questions d’evaluation, nous vous orientons </w:t>
            </w:r>
            <w:proofErr w:type="spellStart"/>
            <w:proofErr w:type="gramStart"/>
            <w:r>
              <w:t>a</w:t>
            </w:r>
            <w:proofErr w:type="spellEnd"/>
            <w:proofErr w:type="gramEnd"/>
            <w:r>
              <w:t xml:space="preserve"> développer une matrice d’evaluation et considérer les sources d’informations pertinentes et les moyens de triangulation. Et déjà considérer les éléments de </w:t>
            </w:r>
            <w:proofErr w:type="spellStart"/>
            <w:r>
              <w:t>donnees</w:t>
            </w:r>
            <w:proofErr w:type="spellEnd"/>
            <w:r>
              <w:t xml:space="preserve"> secondaires disponible déjà annonces dans le TDR.</w:t>
            </w:r>
          </w:p>
          <w:p w14:paraId="79F714B5" w14:textId="77777777" w:rsidR="00FC2021" w:rsidRDefault="00FC2021"/>
        </w:tc>
      </w:tr>
      <w:tr w:rsidR="00FC2021" w14:paraId="2D59FAF0"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921D3E" w14:textId="77777777" w:rsidR="00FC2021" w:rsidRDefault="00FC2021">
            <w:proofErr w:type="gramStart"/>
            <w:r>
              <w:t>format</w:t>
            </w:r>
            <w:proofErr w:type="gramEnd"/>
          </w:p>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17787A0A" w14:textId="77777777" w:rsidR="00FC2021" w:rsidRDefault="00FC2021">
            <w:pPr>
              <w:rPr>
                <w:color w:val="1F497D"/>
              </w:rPr>
            </w:pPr>
            <w:r>
              <w:rPr>
                <w:color w:val="1F497D"/>
              </w:rPr>
              <w:t xml:space="preserve">Y a –t-il également un modèle de format pour la proposition technique ? Dans ce cas, pouvez-vous nous le fournir ? </w:t>
            </w:r>
          </w:p>
          <w:p w14:paraId="03EE930D"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728BFCC9" w14:textId="77777777" w:rsidR="00FC2021" w:rsidRDefault="00FC2021">
            <w:r>
              <w:t xml:space="preserve">Il n’y a pas de format </w:t>
            </w:r>
            <w:proofErr w:type="spellStart"/>
            <w:r>
              <w:t>specifique</w:t>
            </w:r>
            <w:proofErr w:type="spellEnd"/>
            <w:r>
              <w:t xml:space="preserve"> de proposition technique. Mais une offre technique doit </w:t>
            </w:r>
            <w:proofErr w:type="spellStart"/>
            <w:r>
              <w:t>etre</w:t>
            </w:r>
            <w:proofErr w:type="spellEnd"/>
            <w:r>
              <w:t xml:space="preserve"> en </w:t>
            </w:r>
            <w:proofErr w:type="spellStart"/>
            <w:r>
              <w:t>general</w:t>
            </w:r>
            <w:proofErr w:type="spellEnd"/>
            <w:r>
              <w:t xml:space="preserve"> une </w:t>
            </w:r>
            <w:proofErr w:type="spellStart"/>
            <w:r>
              <w:t>premiere</w:t>
            </w:r>
            <w:proofErr w:type="spellEnd"/>
            <w:r>
              <w:t xml:space="preserve"> </w:t>
            </w:r>
            <w:proofErr w:type="spellStart"/>
            <w:r>
              <w:t>ebauche</w:t>
            </w:r>
            <w:proofErr w:type="spellEnd"/>
            <w:r>
              <w:t xml:space="preserve"> de la méthodologie qui sera plus </w:t>
            </w:r>
            <w:proofErr w:type="spellStart"/>
            <w:r>
              <w:t>precisee</w:t>
            </w:r>
            <w:proofErr w:type="spellEnd"/>
            <w:r>
              <w:t xml:space="preserve"> pendant la phase de démarrage.</w:t>
            </w:r>
          </w:p>
          <w:p w14:paraId="7F6DAB85" w14:textId="77777777" w:rsidR="00FC2021" w:rsidRDefault="00FC2021">
            <w:r>
              <w:t xml:space="preserve">A cet effet, l’annexe qui </w:t>
            </w:r>
            <w:proofErr w:type="spellStart"/>
            <w:r>
              <w:t>detaille</w:t>
            </w:r>
            <w:proofErr w:type="spellEnd"/>
            <w:r>
              <w:t xml:space="preserve"> les éléments analyses du rapport de démarrage serait la </w:t>
            </w:r>
            <w:proofErr w:type="spellStart"/>
            <w:r>
              <w:t>reference</w:t>
            </w:r>
            <w:proofErr w:type="spellEnd"/>
            <w:r>
              <w:t xml:space="preserve"> (éléments généraux et cohérence attendues)</w:t>
            </w:r>
          </w:p>
        </w:tc>
      </w:tr>
      <w:tr w:rsidR="00FC2021" w14:paraId="312AFF7D"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FC9922" w14:textId="77777777" w:rsidR="00FC2021" w:rsidRDefault="00FC2021">
            <w:proofErr w:type="gramStart"/>
            <w:r>
              <w:t>format</w:t>
            </w:r>
            <w:proofErr w:type="gramEnd"/>
          </w:p>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488BA649" w14:textId="77777777" w:rsidR="00FC2021" w:rsidRDefault="00FC2021">
            <w:r>
              <w:rPr>
                <w:color w:val="1F497D"/>
              </w:rPr>
              <w:t xml:space="preserve">A la page 23 du dossier d’appel d’offre, il fait mention d'un rapport de démarrage et d'un rapport initial, s'agit -il d'un même rapport ? si non, pouvez-vous nous donner la différence entre les deux s’il vous </w:t>
            </w:r>
            <w:proofErr w:type="gramStart"/>
            <w:r>
              <w:rPr>
                <w:color w:val="1F497D"/>
              </w:rPr>
              <w:t>plait?</w:t>
            </w:r>
            <w:proofErr w:type="gramEnd"/>
          </w:p>
          <w:p w14:paraId="30771EF4"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64EB47B6" w14:textId="77777777" w:rsidR="00FC2021" w:rsidRDefault="00FC2021">
            <w:r>
              <w:t xml:space="preserve">Le rapport de démarrage et le rapport initial sont bien le même document, le contenu attendu est </w:t>
            </w:r>
            <w:proofErr w:type="spellStart"/>
            <w:r>
              <w:t>detaille</w:t>
            </w:r>
            <w:proofErr w:type="spellEnd"/>
            <w:r>
              <w:t xml:space="preserve"> en annexe et les exigences demandes</w:t>
            </w:r>
          </w:p>
        </w:tc>
      </w:tr>
      <w:tr w:rsidR="00FC2021" w14:paraId="406FF392"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98273D" w14:textId="77777777" w:rsidR="00FC2021" w:rsidRDefault="00FC2021">
            <w:proofErr w:type="gramStart"/>
            <w:r>
              <w:t>format</w:t>
            </w:r>
            <w:proofErr w:type="gramEnd"/>
          </w:p>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3D263E48" w14:textId="77777777" w:rsidR="00FC2021" w:rsidRDefault="00FC2021">
            <w:r>
              <w:rPr>
                <w:color w:val="1F497D"/>
              </w:rPr>
              <w:t xml:space="preserve">Y-a – il un modèle de format pour la présentation de l’offre financière ?  </w:t>
            </w:r>
            <w:proofErr w:type="gramStart"/>
            <w:r>
              <w:rPr>
                <w:color w:val="1F497D"/>
              </w:rPr>
              <w:t>si</w:t>
            </w:r>
            <w:proofErr w:type="gramEnd"/>
            <w:r>
              <w:rPr>
                <w:color w:val="1F497D"/>
              </w:rPr>
              <w:t xml:space="preserve"> oui, pouvez-vous nous le transmettre car sauf erreur de notre part, nous ne trouvons pas dans le dossier d’appel d’offre l’exemple du Tableau des coûts mentionné à la page 6.</w:t>
            </w:r>
          </w:p>
          <w:p w14:paraId="7F3011F1"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tcPr>
          <w:p w14:paraId="722D36D2" w14:textId="77777777" w:rsidR="00FC2021" w:rsidRDefault="00FC2021">
            <w:r>
              <w:t>C’est au format standard</w:t>
            </w:r>
          </w:p>
          <w:p w14:paraId="4B9D0243" w14:textId="77777777" w:rsidR="00FC2021" w:rsidRDefault="00FC2021" w:rsidP="00CC5947">
            <w:pPr>
              <w:pStyle w:val="ListParagraph"/>
              <w:numPr>
                <w:ilvl w:val="0"/>
                <w:numId w:val="1"/>
              </w:numPr>
              <w:rPr>
                <w:rFonts w:eastAsia="Times New Roman"/>
              </w:rPr>
            </w:pPr>
            <w:r>
              <w:rPr>
                <w:rFonts w:eastAsia="Times New Roman"/>
              </w:rPr>
              <w:t xml:space="preserve">Lettre d’offre </w:t>
            </w:r>
            <w:proofErr w:type="spellStart"/>
            <w:r>
              <w:rPr>
                <w:rFonts w:eastAsia="Times New Roman"/>
              </w:rPr>
              <w:t>financiere</w:t>
            </w:r>
            <w:proofErr w:type="spellEnd"/>
          </w:p>
          <w:p w14:paraId="616C9470" w14:textId="77777777" w:rsidR="00FC2021" w:rsidRDefault="00FC2021" w:rsidP="00CC5947">
            <w:pPr>
              <w:pStyle w:val="ListParagraph"/>
              <w:numPr>
                <w:ilvl w:val="0"/>
                <w:numId w:val="1"/>
              </w:numPr>
              <w:rPr>
                <w:rFonts w:eastAsia="Times New Roman"/>
              </w:rPr>
            </w:pPr>
            <w:proofErr w:type="spellStart"/>
            <w:r>
              <w:rPr>
                <w:rFonts w:eastAsia="Times New Roman"/>
              </w:rPr>
              <w:t>Recapitulation</w:t>
            </w:r>
            <w:proofErr w:type="spellEnd"/>
            <w:r>
              <w:rPr>
                <w:rFonts w:eastAsia="Times New Roman"/>
              </w:rPr>
              <w:t xml:space="preserve"> des dépenses par rubriques &gt;&gt; voir </w:t>
            </w:r>
            <w:proofErr w:type="spellStart"/>
            <w:r>
              <w:rPr>
                <w:rFonts w:eastAsia="Times New Roman"/>
              </w:rPr>
              <w:t>excel</w:t>
            </w:r>
            <w:proofErr w:type="spellEnd"/>
          </w:p>
          <w:p w14:paraId="1D876D33" w14:textId="77777777" w:rsidR="00FC2021" w:rsidRDefault="00FC2021" w:rsidP="00CC5947">
            <w:pPr>
              <w:pStyle w:val="ListParagraph"/>
              <w:numPr>
                <w:ilvl w:val="0"/>
                <w:numId w:val="1"/>
              </w:numPr>
              <w:rPr>
                <w:rFonts w:eastAsia="Times New Roman"/>
              </w:rPr>
            </w:pPr>
            <w:proofErr w:type="spellStart"/>
            <w:r>
              <w:rPr>
                <w:rFonts w:eastAsia="Times New Roman"/>
              </w:rPr>
              <w:t>Desaggregation</w:t>
            </w:r>
            <w:proofErr w:type="spellEnd"/>
            <w:r>
              <w:rPr>
                <w:rFonts w:eastAsia="Times New Roman"/>
              </w:rPr>
              <w:t xml:space="preserve"> des dépenses par phases et rubriques &gt;&gt; voir </w:t>
            </w:r>
            <w:proofErr w:type="spellStart"/>
            <w:r>
              <w:rPr>
                <w:rFonts w:eastAsia="Times New Roman"/>
              </w:rPr>
              <w:t>excel</w:t>
            </w:r>
            <w:proofErr w:type="spellEnd"/>
          </w:p>
          <w:p w14:paraId="6F74EF34" w14:textId="77777777" w:rsidR="00FC2021" w:rsidRDefault="00FC2021"/>
          <w:p w14:paraId="74098823" w14:textId="7B17497D" w:rsidR="00FC2021" w:rsidRDefault="00FC2021"/>
          <w:p w14:paraId="2CB8966F" w14:textId="77777777" w:rsidR="00FC2021" w:rsidRDefault="00FC2021"/>
        </w:tc>
      </w:tr>
      <w:tr w:rsidR="00FC2021" w14:paraId="4C5C6884"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FFA50" w14:textId="77777777" w:rsidR="00FC2021" w:rsidRDefault="00FC2021">
            <w:r>
              <w:t>HR</w:t>
            </w:r>
          </w:p>
        </w:tc>
        <w:tc>
          <w:tcPr>
            <w:tcW w:w="6570" w:type="dxa"/>
            <w:tcBorders>
              <w:top w:val="nil"/>
              <w:left w:val="nil"/>
              <w:bottom w:val="single" w:sz="8" w:space="0" w:color="auto"/>
              <w:right w:val="single" w:sz="8" w:space="0" w:color="auto"/>
            </w:tcBorders>
            <w:tcMar>
              <w:top w:w="0" w:type="dxa"/>
              <w:left w:w="108" w:type="dxa"/>
              <w:bottom w:w="0" w:type="dxa"/>
              <w:right w:w="108" w:type="dxa"/>
            </w:tcMar>
            <w:hideMark/>
          </w:tcPr>
          <w:p w14:paraId="28929379" w14:textId="77777777" w:rsidR="00FC2021" w:rsidRDefault="00FC2021">
            <w:r>
              <w:t xml:space="preserve">Nous avons bien noté que l'équipe d’évaluation doit être composée au minimum </w:t>
            </w:r>
            <w:r>
              <w:rPr>
                <w:i/>
                <w:iCs/>
              </w:rPr>
              <w:t>d'un consultant international et d'un consultant local. Qu'est ce qui est entendu par 'consultant international</w:t>
            </w:r>
            <w:proofErr w:type="gramStart"/>
            <w:r>
              <w:rPr>
                <w:i/>
                <w:iCs/>
              </w:rPr>
              <w:t>'</w:t>
            </w:r>
            <w:r>
              <w:t>?</w:t>
            </w:r>
            <w:proofErr w:type="gramEnd"/>
            <w:r>
              <w:t xml:space="preserve"> Est ce qu'il </w:t>
            </w:r>
            <w:r>
              <w:lastRenderedPageBreak/>
              <w:t>s'agit d'un consultant qui n'est pas originaire de Madagascar ou bien est ce que ce consultant peut être un consultant Malgache avec une expertise internationale (ou qui a effectué des missions à l'international</w:t>
            </w:r>
            <w:proofErr w:type="gramStart"/>
            <w:r>
              <w:t>)?</w:t>
            </w:r>
            <w:proofErr w:type="gramEnd"/>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1A305C94" w14:textId="77777777" w:rsidR="00FC2021" w:rsidRDefault="00FC2021">
            <w:r>
              <w:lastRenderedPageBreak/>
              <w:t xml:space="preserve">Le chef d’équipe peut être un national de Madagascar mais il doit avoir une expérience internationale. Il est essentiel que la proposition technique donne la preuve (ou des références qui peuvent être vérifiées) de son expérience en </w:t>
            </w:r>
            <w:r>
              <w:lastRenderedPageBreak/>
              <w:t>direction/gestion d’équipe/de projet d’évaluation dans des contextes nationaux divers.</w:t>
            </w:r>
          </w:p>
        </w:tc>
      </w:tr>
      <w:tr w:rsidR="00FC2021" w14:paraId="0714215A"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226620" w14:textId="77777777" w:rsidR="00FC2021" w:rsidRDefault="00FC2021">
            <w:r>
              <w:lastRenderedPageBreak/>
              <w:t>HR</w:t>
            </w:r>
          </w:p>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12B488C2" w14:textId="77777777" w:rsidR="00FC2021" w:rsidRDefault="00FC2021">
            <w:r>
              <w:rPr>
                <w:lang w:val="fr-BE"/>
              </w:rPr>
              <w:t xml:space="preserve">Serait-il possible d’avoir une idée du niveau d’effort prévu pour ce mandat en jours ou bien du budget maximum ? </w:t>
            </w:r>
          </w:p>
          <w:p w14:paraId="32EF379F"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1E358AA2" w14:textId="77777777" w:rsidR="00FC2021" w:rsidRDefault="00FC2021">
            <w:r>
              <w:t xml:space="preserve">Le niveau d’effort estimé pour cette évaluation serait de 100 homme/jours maximum, considérant une équipe de deux consultants (1 international et 1 national). Ces 100 H/J seraient donc répartis entre ces deux consultants. </w:t>
            </w:r>
          </w:p>
        </w:tc>
      </w:tr>
      <w:tr w:rsidR="00FC2021" w14:paraId="666EAE24"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502B86" w14:textId="77777777" w:rsidR="00FC2021" w:rsidRDefault="00FC2021">
            <w:proofErr w:type="gramStart"/>
            <w:r>
              <w:t>timeline</w:t>
            </w:r>
            <w:proofErr w:type="gramEnd"/>
          </w:p>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60A28580" w14:textId="77777777" w:rsidR="00FC2021" w:rsidRDefault="00FC2021">
            <w:r>
              <w:rPr>
                <w:color w:val="1F497D"/>
              </w:rPr>
              <w:t>Dans dossier d’appel d’offre, il est mentionné que « les résultats provisoires devront être disponibles d'ici fin Avril » (p.21</w:t>
            </w:r>
            <w:proofErr w:type="gramStart"/>
            <w:r>
              <w:rPr>
                <w:color w:val="1F497D"/>
              </w:rPr>
              <w:t>)  et</w:t>
            </w:r>
            <w:proofErr w:type="gramEnd"/>
            <w:r>
              <w:rPr>
                <w:color w:val="1F497D"/>
              </w:rPr>
              <w:t xml:space="preserve"> que « le soumissionnaire retenu devra achever les travaux dans un délai de 12 semaines à partir du 1 avril (date prévisionnelle) »(p.4) . Est-ce que les 12 semaines prévues pour achever les travaux sont des semaines calendaires ? si oui, est ce qu’il y aura donc une modification concernant cette date de la présentation des résultats provisoires ?</w:t>
            </w:r>
          </w:p>
          <w:p w14:paraId="55E866D3"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4FBD98FF" w14:textId="77777777" w:rsidR="00FC2021" w:rsidRDefault="00FC2021">
            <w:r>
              <w:t xml:space="preserve">Sur </w:t>
            </w:r>
          </w:p>
          <w:p w14:paraId="37A36181" w14:textId="77777777" w:rsidR="00FC2021" w:rsidRDefault="00FC2021" w:rsidP="00CC5947">
            <w:pPr>
              <w:pStyle w:val="ListParagraph"/>
              <w:numPr>
                <w:ilvl w:val="0"/>
                <w:numId w:val="2"/>
              </w:numPr>
              <w:rPr>
                <w:rFonts w:eastAsia="Times New Roman"/>
              </w:rPr>
            </w:pPr>
            <w:r>
              <w:rPr>
                <w:rFonts w:eastAsia="Times New Roman"/>
              </w:rPr>
              <w:t>Il s’agit de semaines calendaires</w:t>
            </w:r>
          </w:p>
          <w:p w14:paraId="11E056CD" w14:textId="77777777" w:rsidR="00FC2021" w:rsidRDefault="00FC2021" w:rsidP="00CC5947">
            <w:pPr>
              <w:pStyle w:val="ListParagraph"/>
              <w:numPr>
                <w:ilvl w:val="0"/>
                <w:numId w:val="2"/>
              </w:numPr>
              <w:rPr>
                <w:rFonts w:eastAsia="Times New Roman"/>
              </w:rPr>
            </w:pPr>
            <w:r>
              <w:rPr>
                <w:rFonts w:eastAsia="Times New Roman"/>
              </w:rPr>
              <w:t xml:space="preserve">La date de modification de la </w:t>
            </w:r>
            <w:proofErr w:type="spellStart"/>
            <w:r>
              <w:rPr>
                <w:rFonts w:eastAsia="Times New Roman"/>
              </w:rPr>
              <w:t>presentation</w:t>
            </w:r>
            <w:proofErr w:type="spellEnd"/>
            <w:r>
              <w:rPr>
                <w:rFonts w:eastAsia="Times New Roman"/>
              </w:rPr>
              <w:t xml:space="preserve"> des résultats préliminaires (phase 3) est très peu </w:t>
            </w:r>
            <w:proofErr w:type="spellStart"/>
            <w:r>
              <w:rPr>
                <w:rFonts w:eastAsia="Times New Roman"/>
              </w:rPr>
              <w:t>negociable</w:t>
            </w:r>
            <w:proofErr w:type="spellEnd"/>
            <w:r>
              <w:rPr>
                <w:rFonts w:eastAsia="Times New Roman"/>
              </w:rPr>
              <w:t xml:space="preserve"> mais peut être le teneur de ce qui doit être communique </w:t>
            </w:r>
            <w:proofErr w:type="spellStart"/>
            <w:proofErr w:type="gramStart"/>
            <w:r>
              <w:rPr>
                <w:rFonts w:eastAsia="Times New Roman"/>
              </w:rPr>
              <w:t>a</w:t>
            </w:r>
            <w:proofErr w:type="spellEnd"/>
            <w:proofErr w:type="gramEnd"/>
            <w:r>
              <w:rPr>
                <w:rFonts w:eastAsia="Times New Roman"/>
              </w:rPr>
              <w:t xml:space="preserve"> cette date en fonction de la réalisation du terrain pourrait être ajuste. C’est </w:t>
            </w:r>
            <w:proofErr w:type="spellStart"/>
            <w:proofErr w:type="gramStart"/>
            <w:r>
              <w:rPr>
                <w:rFonts w:eastAsia="Times New Roman"/>
              </w:rPr>
              <w:t>a</w:t>
            </w:r>
            <w:proofErr w:type="spellEnd"/>
            <w:proofErr w:type="gramEnd"/>
            <w:r>
              <w:rPr>
                <w:rFonts w:eastAsia="Times New Roman"/>
              </w:rPr>
              <w:t xml:space="preserve"> convenir lors du phase de démarrage (phase 2)</w:t>
            </w:r>
          </w:p>
        </w:tc>
      </w:tr>
      <w:tr w:rsidR="00FC2021" w14:paraId="3A1CEFC0" w14:textId="77777777" w:rsidTr="00FC2021">
        <w:tc>
          <w:tcPr>
            <w:tcW w:w="188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1B99B5" w14:textId="77777777" w:rsidR="00FC2021" w:rsidRDefault="00FC2021"/>
        </w:tc>
        <w:tc>
          <w:tcPr>
            <w:tcW w:w="6570" w:type="dxa"/>
            <w:tcBorders>
              <w:top w:val="nil"/>
              <w:left w:val="nil"/>
              <w:bottom w:val="single" w:sz="8" w:space="0" w:color="auto"/>
              <w:right w:val="single" w:sz="8" w:space="0" w:color="auto"/>
            </w:tcBorders>
            <w:tcMar>
              <w:top w:w="0" w:type="dxa"/>
              <w:left w:w="108" w:type="dxa"/>
              <w:bottom w:w="0" w:type="dxa"/>
              <w:right w:w="108" w:type="dxa"/>
            </w:tcMar>
          </w:tcPr>
          <w:p w14:paraId="20E48D8C" w14:textId="77777777" w:rsidR="00FC2021" w:rsidRDefault="00FC2021"/>
        </w:tc>
        <w:tc>
          <w:tcPr>
            <w:tcW w:w="6480" w:type="dxa"/>
            <w:tcBorders>
              <w:top w:val="nil"/>
              <w:left w:val="nil"/>
              <w:bottom w:val="single" w:sz="8" w:space="0" w:color="auto"/>
              <w:right w:val="single" w:sz="8" w:space="0" w:color="auto"/>
            </w:tcBorders>
            <w:tcMar>
              <w:top w:w="0" w:type="dxa"/>
              <w:left w:w="108" w:type="dxa"/>
              <w:bottom w:w="0" w:type="dxa"/>
              <w:right w:w="108" w:type="dxa"/>
            </w:tcMar>
          </w:tcPr>
          <w:p w14:paraId="7B16F0B3" w14:textId="77777777" w:rsidR="00FC2021" w:rsidRDefault="00FC2021"/>
        </w:tc>
      </w:tr>
    </w:tbl>
    <w:p w14:paraId="551182D9" w14:textId="77777777" w:rsidR="00A81069" w:rsidRDefault="00A81069"/>
    <w:sectPr w:rsidR="00A81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591214"/>
    <w:multiLevelType w:val="hybridMultilevel"/>
    <w:tmpl w:val="612A0352"/>
    <w:lvl w:ilvl="0" w:tplc="068464D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7ECD463A"/>
    <w:multiLevelType w:val="hybridMultilevel"/>
    <w:tmpl w:val="7E62F4D8"/>
    <w:lvl w:ilvl="0" w:tplc="651C5D0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21"/>
    <w:rsid w:val="00A81069"/>
    <w:rsid w:val="00FC2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7D37"/>
  <w15:chartTrackingRefBased/>
  <w15:docId w15:val="{A0958171-4866-4E38-B3EC-C6BE7197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021"/>
    <w:pPr>
      <w:spacing w:after="0" w:line="240" w:lineRule="auto"/>
    </w:pPr>
    <w:rPr>
      <w:rFonts w:ascii="Calibri" w:hAnsi="Calibri" w:cs="Calibr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02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66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610</Words>
  <Characters>3358</Characters>
  <Application>Microsoft Office Word</Application>
  <DocSecurity>0</DocSecurity>
  <Lines>27</Lines>
  <Paragraphs>7</Paragraphs>
  <ScaleCrop>false</ScaleCrop>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Ravoavy Andrianaivo</dc:creator>
  <cp:keywords/>
  <dc:description/>
  <cp:lastModifiedBy>Ravoavy Andrianaivo</cp:lastModifiedBy>
  <cp:revision>1</cp:revision>
  <dcterms:created xsi:type="dcterms:W3CDTF">2022-02-22T11:18:00Z</dcterms:created>
  <dcterms:modified xsi:type="dcterms:W3CDTF">2022-02-22T11:20:00Z</dcterms:modified>
</cp:coreProperties>
</file>