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869" w:rsidRDefault="00226F50">
      <w:pPr>
        <w:keepNext/>
        <w:keepLines/>
        <w:pBdr>
          <w:top w:val="nil"/>
          <w:left w:val="nil"/>
          <w:bottom w:val="nil"/>
          <w:right w:val="nil"/>
          <w:between w:val="nil"/>
        </w:pBdr>
        <w:spacing w:before="360" w:after="120"/>
        <w:rPr>
          <w:b/>
          <w:color w:val="518ECB"/>
          <w:sz w:val="28"/>
          <w:szCs w:val="28"/>
        </w:rPr>
      </w:pPr>
      <w:r>
        <w:rPr>
          <w:b/>
          <w:color w:val="518ECB"/>
          <w:sz w:val="28"/>
          <w:szCs w:val="28"/>
        </w:rPr>
        <w:t>Section II: Schedule of Requirements</w:t>
      </w:r>
    </w:p>
    <w:p w:rsidR="000D7869" w:rsidRDefault="00226F50">
      <w:pPr>
        <w:keepNext/>
        <w:keepLines/>
        <w:pBdr>
          <w:top w:val="nil"/>
          <w:left w:val="nil"/>
          <w:bottom w:val="nil"/>
          <w:right w:val="nil"/>
          <w:between w:val="nil"/>
        </w:pBdr>
        <w:spacing w:before="360" w:after="240"/>
        <w:rPr>
          <w:color w:val="000000"/>
        </w:rPr>
      </w:pPr>
      <w:proofErr w:type="gramStart"/>
      <w:r>
        <w:rPr>
          <w:b/>
          <w:color w:val="000000"/>
        </w:rPr>
        <w:t>eSourcing</w:t>
      </w:r>
      <w:proofErr w:type="gramEnd"/>
      <w:r>
        <w:rPr>
          <w:b/>
          <w:color w:val="000000"/>
        </w:rPr>
        <w:t xml:space="preserve"> reference:</w:t>
      </w:r>
      <w:r>
        <w:rPr>
          <w:color w:val="000000"/>
        </w:rPr>
        <w:t xml:space="preserve"> ITB/2021/34798</w:t>
      </w:r>
    </w:p>
    <w:p w:rsidR="000D7869" w:rsidRDefault="000D7869"/>
    <w:p w:rsidR="000D7869" w:rsidRDefault="00226F50">
      <w:pPr>
        <w:numPr>
          <w:ilvl w:val="0"/>
          <w:numId w:val="1"/>
        </w:numPr>
        <w:pBdr>
          <w:top w:val="nil"/>
          <w:left w:val="nil"/>
          <w:bottom w:val="nil"/>
          <w:right w:val="nil"/>
          <w:between w:val="nil"/>
        </w:pBdr>
        <w:tabs>
          <w:tab w:val="left" w:pos="-720"/>
          <w:tab w:val="left" w:pos="0"/>
          <w:tab w:val="left" w:pos="720"/>
          <w:tab w:val="right" w:pos="8640"/>
        </w:tabs>
        <w:ind w:left="284" w:hanging="284"/>
        <w:rPr>
          <w:b/>
          <w:color w:val="000000"/>
        </w:rPr>
      </w:pPr>
      <w:r>
        <w:rPr>
          <w:b/>
          <w:color w:val="000000"/>
        </w:rPr>
        <w:t xml:space="preserve">Summary of Requirements </w:t>
      </w:r>
    </w:p>
    <w:p w:rsidR="000D7869" w:rsidRDefault="000D7869">
      <w:pPr>
        <w:pBdr>
          <w:top w:val="nil"/>
          <w:left w:val="nil"/>
          <w:bottom w:val="nil"/>
          <w:right w:val="nil"/>
          <w:between w:val="nil"/>
        </w:pBdr>
        <w:tabs>
          <w:tab w:val="left" w:pos="-720"/>
          <w:tab w:val="left" w:pos="0"/>
          <w:tab w:val="left" w:pos="720"/>
          <w:tab w:val="right" w:pos="8640"/>
        </w:tabs>
        <w:ind w:left="2160" w:hanging="720"/>
        <w:rPr>
          <w:b/>
          <w:color w:val="000000"/>
        </w:rPr>
      </w:pPr>
    </w:p>
    <w:p w:rsidR="000D7869" w:rsidRDefault="00226F50">
      <w:pPr>
        <w:pBdr>
          <w:top w:val="nil"/>
          <w:left w:val="nil"/>
          <w:bottom w:val="nil"/>
          <w:right w:val="nil"/>
          <w:between w:val="nil"/>
        </w:pBdr>
        <w:tabs>
          <w:tab w:val="left" w:pos="-720"/>
          <w:tab w:val="left" w:pos="0"/>
          <w:tab w:val="left" w:pos="720"/>
          <w:tab w:val="right" w:pos="8640"/>
        </w:tabs>
        <w:ind w:left="720" w:hanging="720"/>
        <w:rPr>
          <w:color w:val="000000"/>
        </w:rPr>
      </w:pPr>
      <w:r>
        <w:rPr>
          <w:color w:val="000000"/>
        </w:rPr>
        <w:t>UNOPS requirements are comprised of the following lots:</w:t>
      </w:r>
    </w:p>
    <w:p w:rsidR="000D7869" w:rsidRDefault="000D7869">
      <w:pPr>
        <w:pBdr>
          <w:top w:val="nil"/>
          <w:left w:val="nil"/>
          <w:bottom w:val="nil"/>
          <w:right w:val="nil"/>
          <w:between w:val="nil"/>
        </w:pBdr>
        <w:tabs>
          <w:tab w:val="left" w:pos="-720"/>
          <w:tab w:val="left" w:pos="0"/>
          <w:tab w:val="left" w:pos="720"/>
          <w:tab w:val="right" w:pos="8640"/>
        </w:tabs>
        <w:ind w:left="720" w:hanging="720"/>
        <w:rPr>
          <w:color w:val="000000"/>
        </w:rPr>
      </w:pPr>
    </w:p>
    <w:p w:rsidR="000D7869" w:rsidRDefault="00226F50" w:rsidP="002E1824">
      <w:pPr>
        <w:pBdr>
          <w:top w:val="nil"/>
          <w:left w:val="nil"/>
          <w:bottom w:val="nil"/>
          <w:right w:val="nil"/>
          <w:between w:val="nil"/>
        </w:pBdr>
        <w:tabs>
          <w:tab w:val="left" w:pos="-720"/>
          <w:tab w:val="left" w:pos="0"/>
          <w:tab w:val="left" w:pos="720"/>
          <w:tab w:val="right" w:pos="8640"/>
        </w:tabs>
        <w:ind w:left="720"/>
        <w:rPr>
          <w:rFonts w:ascii="Times New Roman" w:eastAsia="Times New Roman" w:hAnsi="Times New Roman" w:cs="Times New Roman"/>
          <w:color w:val="000000"/>
        </w:rPr>
      </w:pPr>
      <w:r>
        <w:rPr>
          <w:rFonts w:ascii="Times New Roman" w:eastAsia="Times New Roman" w:hAnsi="Times New Roman" w:cs="Times New Roman"/>
          <w:color w:val="000000"/>
        </w:rPr>
        <w:t>Lot (1) Supply and Delivery of Laboratory Equipment &amp; Consumables to Khartoum - Sudan.</w:t>
      </w:r>
      <w:r>
        <w:rPr>
          <w:rFonts w:ascii="Times New Roman" w:eastAsia="Times New Roman" w:hAnsi="Times New Roman" w:cs="Times New Roman"/>
          <w:color w:val="000000"/>
        </w:rPr>
        <w:br/>
        <w:t xml:space="preserve">Lot (2) Supply and Delivery of </w:t>
      </w:r>
      <w:r w:rsidR="00A27585" w:rsidRPr="00A27585">
        <w:rPr>
          <w:rFonts w:ascii="Times New Roman" w:eastAsia="Times New Roman" w:hAnsi="Times New Roman" w:cs="Times New Roman"/>
          <w:color w:val="000000"/>
        </w:rPr>
        <w:t>K-IPC</w:t>
      </w:r>
      <w:r w:rsidR="00A27585">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to Khartoum - Sudan.</w:t>
      </w:r>
      <w:r>
        <w:rPr>
          <w:rFonts w:ascii="Times New Roman" w:eastAsia="Times New Roman" w:hAnsi="Times New Roman" w:cs="Times New Roman"/>
          <w:color w:val="000000"/>
        </w:rPr>
        <w:br/>
        <w:t>Lot (3) Supply and Delivery of Stationery to Khartoum - Sudan.</w:t>
      </w:r>
      <w:r>
        <w:rPr>
          <w:rFonts w:ascii="Times New Roman" w:eastAsia="Times New Roman" w:hAnsi="Times New Roman" w:cs="Times New Roman"/>
          <w:color w:val="000000"/>
        </w:rPr>
        <w:br/>
        <w:t xml:space="preserve">Lot (4) Supply and Delivery of </w:t>
      </w:r>
      <w:r w:rsidR="002E1824">
        <w:rPr>
          <w:rFonts w:ascii="Times New Roman" w:eastAsia="Times New Roman" w:hAnsi="Times New Roman" w:cs="Times New Roman"/>
          <w:color w:val="000000"/>
        </w:rPr>
        <w:t>Smart Devices</w:t>
      </w:r>
      <w:bookmarkStart w:id="0" w:name="_GoBack"/>
      <w:bookmarkEnd w:id="0"/>
      <w:r>
        <w:rPr>
          <w:rFonts w:ascii="Times New Roman" w:eastAsia="Times New Roman" w:hAnsi="Times New Roman" w:cs="Times New Roman"/>
          <w:color w:val="000000"/>
        </w:rPr>
        <w:t xml:space="preserve"> to Khartoum - Sudan.</w:t>
      </w:r>
      <w:r>
        <w:rPr>
          <w:rFonts w:ascii="Times New Roman" w:eastAsia="Times New Roman" w:hAnsi="Times New Roman" w:cs="Times New Roman"/>
          <w:color w:val="000000"/>
        </w:rPr>
        <w:br/>
        <w:t>Lot (5) Supply and Delivery of Drugs to Khartoum - Sudan.</w:t>
      </w:r>
    </w:p>
    <w:p w:rsidR="000D7869" w:rsidRDefault="000D7869">
      <w:pPr>
        <w:pBdr>
          <w:top w:val="nil"/>
          <w:left w:val="nil"/>
          <w:bottom w:val="nil"/>
          <w:right w:val="nil"/>
          <w:between w:val="nil"/>
        </w:pBdr>
        <w:tabs>
          <w:tab w:val="left" w:pos="-720"/>
          <w:tab w:val="left" w:pos="0"/>
          <w:tab w:val="left" w:pos="720"/>
          <w:tab w:val="right" w:pos="8640"/>
        </w:tabs>
        <w:ind w:left="720"/>
        <w:rPr>
          <w:b/>
          <w:color w:val="000000"/>
        </w:rPr>
      </w:pPr>
    </w:p>
    <w:p w:rsidR="000D7869" w:rsidRDefault="00226F50">
      <w:pPr>
        <w:numPr>
          <w:ilvl w:val="0"/>
          <w:numId w:val="1"/>
        </w:numPr>
        <w:pBdr>
          <w:top w:val="nil"/>
          <w:left w:val="nil"/>
          <w:bottom w:val="nil"/>
          <w:right w:val="nil"/>
          <w:between w:val="nil"/>
        </w:pBdr>
        <w:tabs>
          <w:tab w:val="left" w:pos="-720"/>
          <w:tab w:val="left" w:pos="0"/>
          <w:tab w:val="left" w:pos="720"/>
          <w:tab w:val="right" w:pos="8640"/>
        </w:tabs>
        <w:ind w:left="284" w:hanging="284"/>
        <w:rPr>
          <w:b/>
          <w:color w:val="000000"/>
        </w:rPr>
      </w:pPr>
      <w:r>
        <w:rPr>
          <w:b/>
          <w:color w:val="000000"/>
        </w:rPr>
        <w:t>Technical specifications for Goods and Comparative Data Table</w:t>
      </w:r>
    </w:p>
    <w:p w:rsidR="000D7869" w:rsidRDefault="000D7869">
      <w:pPr>
        <w:rPr>
          <w:b/>
          <w:color w:val="000000"/>
        </w:rPr>
      </w:pPr>
    </w:p>
    <w:p w:rsidR="000D7869" w:rsidRDefault="00226F50">
      <w:r>
        <w:t xml:space="preserve">Description and technical specification of the items are found in the bills of quantities. </w:t>
      </w:r>
    </w:p>
    <w:p w:rsidR="000D7869" w:rsidRDefault="000D7869">
      <w:pPr>
        <w:rPr>
          <w:b/>
          <w:color w:val="000000"/>
        </w:rPr>
      </w:pPr>
    </w:p>
    <w:p w:rsidR="000D7869" w:rsidRDefault="000D7869">
      <w:pPr>
        <w:pBdr>
          <w:top w:val="nil"/>
          <w:left w:val="nil"/>
          <w:bottom w:val="nil"/>
          <w:right w:val="nil"/>
          <w:between w:val="nil"/>
        </w:pBdr>
        <w:tabs>
          <w:tab w:val="left" w:pos="-720"/>
          <w:tab w:val="left" w:pos="0"/>
          <w:tab w:val="left" w:pos="720"/>
          <w:tab w:val="right" w:pos="8640"/>
        </w:tabs>
        <w:ind w:left="284"/>
        <w:rPr>
          <w:b/>
          <w:color w:val="000000"/>
        </w:rPr>
      </w:pPr>
    </w:p>
    <w:p w:rsidR="000D7869" w:rsidRDefault="00226F50">
      <w:pPr>
        <w:numPr>
          <w:ilvl w:val="0"/>
          <w:numId w:val="1"/>
        </w:numPr>
        <w:pBdr>
          <w:top w:val="nil"/>
          <w:left w:val="nil"/>
          <w:bottom w:val="nil"/>
          <w:right w:val="nil"/>
          <w:between w:val="nil"/>
        </w:pBdr>
        <w:tabs>
          <w:tab w:val="left" w:pos="-720"/>
          <w:tab w:val="left" w:pos="0"/>
          <w:tab w:val="left" w:pos="720"/>
          <w:tab w:val="right" w:pos="8640"/>
        </w:tabs>
        <w:ind w:left="284" w:hanging="284"/>
        <w:rPr>
          <w:b/>
          <w:color w:val="000000"/>
        </w:rPr>
      </w:pPr>
      <w:r>
        <w:rPr>
          <w:b/>
          <w:color w:val="000000"/>
        </w:rPr>
        <w:t>Delivery requirements and Comparative Data Table:</w:t>
      </w:r>
    </w:p>
    <w:p w:rsidR="000D7869" w:rsidRDefault="000D7869">
      <w:pPr>
        <w:pBdr>
          <w:top w:val="nil"/>
          <w:left w:val="nil"/>
          <w:bottom w:val="nil"/>
          <w:right w:val="nil"/>
          <w:between w:val="nil"/>
        </w:pBdr>
        <w:tabs>
          <w:tab w:val="left" w:pos="-720"/>
          <w:tab w:val="left" w:pos="0"/>
          <w:tab w:val="left" w:pos="720"/>
          <w:tab w:val="right" w:pos="8640"/>
        </w:tabs>
        <w:ind w:left="284"/>
        <w:rPr>
          <w:b/>
          <w:color w:val="000000"/>
        </w:rPr>
      </w:pPr>
    </w:p>
    <w:tbl>
      <w:tblPr>
        <w:tblStyle w:val="a"/>
        <w:tblW w:w="97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21"/>
        <w:gridCol w:w="2126"/>
        <w:gridCol w:w="2835"/>
      </w:tblGrid>
      <w:tr w:rsidR="000D7869">
        <w:trPr>
          <w:trHeight w:val="306"/>
        </w:trPr>
        <w:tc>
          <w:tcPr>
            <w:tcW w:w="4823" w:type="dxa"/>
            <w:gridSpan w:val="2"/>
            <w:shd w:val="clear" w:color="auto" w:fill="D9D9D9"/>
            <w:vAlign w:val="center"/>
          </w:tcPr>
          <w:p w:rsidR="000D7869" w:rsidRDefault="00226F50">
            <w:pPr>
              <w:jc w:val="center"/>
              <w:rPr>
                <w:rFonts w:ascii="Arial" w:eastAsia="Arial" w:hAnsi="Arial" w:cs="Arial"/>
                <w:b/>
              </w:rPr>
            </w:pPr>
            <w:r>
              <w:rPr>
                <w:rFonts w:ascii="Arial" w:eastAsia="Arial" w:hAnsi="Arial" w:cs="Arial"/>
                <w:b/>
              </w:rPr>
              <w:t>UNOPS Requirements</w:t>
            </w:r>
          </w:p>
        </w:tc>
        <w:tc>
          <w:tcPr>
            <w:tcW w:w="2126" w:type="dxa"/>
            <w:shd w:val="clear" w:color="auto" w:fill="D9D9D9"/>
            <w:vAlign w:val="center"/>
          </w:tcPr>
          <w:p w:rsidR="000D7869" w:rsidRDefault="00226F50">
            <w:pPr>
              <w:jc w:val="center"/>
              <w:rPr>
                <w:rFonts w:ascii="Arial" w:eastAsia="Arial" w:hAnsi="Arial" w:cs="Arial"/>
                <w:b/>
              </w:rPr>
            </w:pPr>
            <w:r>
              <w:rPr>
                <w:rFonts w:ascii="Arial" w:eastAsia="Arial" w:hAnsi="Arial" w:cs="Arial"/>
                <w:b/>
              </w:rPr>
              <w:t xml:space="preserve">Is bid compliant? </w:t>
            </w:r>
            <w:r>
              <w:rPr>
                <w:rFonts w:ascii="Arial" w:eastAsia="Arial" w:hAnsi="Arial" w:cs="Arial"/>
              </w:rPr>
              <w:t>Bidder to complete</w:t>
            </w:r>
          </w:p>
        </w:tc>
        <w:tc>
          <w:tcPr>
            <w:tcW w:w="2835" w:type="dxa"/>
            <w:shd w:val="clear" w:color="auto" w:fill="D9D9D9"/>
            <w:vAlign w:val="center"/>
          </w:tcPr>
          <w:p w:rsidR="000D7869" w:rsidRDefault="00226F50">
            <w:pPr>
              <w:jc w:val="center"/>
              <w:rPr>
                <w:rFonts w:ascii="Arial" w:eastAsia="Arial" w:hAnsi="Arial" w:cs="Arial"/>
                <w:b/>
              </w:rPr>
            </w:pPr>
            <w:r>
              <w:rPr>
                <w:rFonts w:ascii="Arial" w:eastAsia="Arial" w:hAnsi="Arial" w:cs="Arial"/>
                <w:b/>
              </w:rPr>
              <w:t xml:space="preserve">Details </w:t>
            </w:r>
          </w:p>
          <w:p w:rsidR="000D7869" w:rsidRDefault="00226F50">
            <w:pPr>
              <w:jc w:val="center"/>
              <w:rPr>
                <w:rFonts w:ascii="Arial" w:eastAsia="Arial" w:hAnsi="Arial" w:cs="Arial"/>
                <w:b/>
              </w:rPr>
            </w:pPr>
            <w:r>
              <w:rPr>
                <w:rFonts w:ascii="Arial" w:eastAsia="Arial" w:hAnsi="Arial" w:cs="Arial"/>
              </w:rPr>
              <w:t>Bidder to complete</w:t>
            </w:r>
          </w:p>
        </w:tc>
      </w:tr>
      <w:tr w:rsidR="000D7869" w:rsidTr="007D0442">
        <w:trPr>
          <w:trHeight w:val="306"/>
        </w:trPr>
        <w:tc>
          <w:tcPr>
            <w:tcW w:w="1702" w:type="dxa"/>
            <w:shd w:val="clear" w:color="auto" w:fill="D9D9D9"/>
            <w:vAlign w:val="center"/>
          </w:tcPr>
          <w:p w:rsidR="000D7869" w:rsidRDefault="00226F50">
            <w:pPr>
              <w:rPr>
                <w:rFonts w:ascii="Arial" w:eastAsia="Arial" w:hAnsi="Arial" w:cs="Arial"/>
                <w:b/>
              </w:rPr>
            </w:pPr>
            <w:r>
              <w:rPr>
                <w:rFonts w:ascii="Arial" w:eastAsia="Arial" w:hAnsi="Arial" w:cs="Arial"/>
                <w:b/>
              </w:rPr>
              <w:t>Delivery time</w:t>
            </w:r>
          </w:p>
        </w:tc>
        <w:tc>
          <w:tcPr>
            <w:tcW w:w="3121" w:type="dxa"/>
            <w:shd w:val="clear" w:color="auto" w:fill="auto"/>
            <w:vAlign w:val="center"/>
          </w:tcPr>
          <w:p w:rsidR="000D7869" w:rsidRPr="007D0442" w:rsidRDefault="00226F50">
            <w:pPr>
              <w:rPr>
                <w:rFonts w:ascii="Arial" w:eastAsia="Arial" w:hAnsi="Arial" w:cs="Arial"/>
              </w:rPr>
            </w:pPr>
            <w:r w:rsidRPr="007D0442">
              <w:rPr>
                <w:rFonts w:ascii="Arial" w:eastAsia="Arial" w:hAnsi="Arial" w:cs="Arial"/>
              </w:rPr>
              <w:t xml:space="preserve">Bidder shall deliver the goods 2x (two) calendar months after Contract signature. </w:t>
            </w:r>
          </w:p>
        </w:tc>
        <w:tc>
          <w:tcPr>
            <w:tcW w:w="2126" w:type="dxa"/>
            <w:vAlign w:val="center"/>
          </w:tcPr>
          <w:p w:rsidR="000D7869" w:rsidRDefault="00226F50">
            <w:pPr>
              <w:rPr>
                <w:rFonts w:ascii="Arial" w:eastAsia="Arial" w:hAnsi="Arial" w:cs="Arial"/>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0D7869" w:rsidRDefault="00226F50">
            <w:pPr>
              <w:rPr>
                <w:rFonts w:ascii="Arial" w:eastAsia="Arial" w:hAnsi="Arial" w:cs="Arial"/>
              </w:rPr>
            </w:pPr>
            <w:r>
              <w:rPr>
                <w:rFonts w:ascii="Arial" w:eastAsia="Arial" w:hAnsi="Arial" w:cs="Arial"/>
                <w:highlight w:val="cyan"/>
              </w:rPr>
              <w:t xml:space="preserve">Insert details </w:t>
            </w:r>
          </w:p>
        </w:tc>
      </w:tr>
      <w:tr w:rsidR="000D7869" w:rsidTr="007D0442">
        <w:trPr>
          <w:trHeight w:val="306"/>
        </w:trPr>
        <w:tc>
          <w:tcPr>
            <w:tcW w:w="1702" w:type="dxa"/>
            <w:shd w:val="clear" w:color="auto" w:fill="D9D9D9"/>
            <w:vAlign w:val="center"/>
          </w:tcPr>
          <w:p w:rsidR="000D7869" w:rsidRDefault="00226F50">
            <w:pPr>
              <w:rPr>
                <w:rFonts w:ascii="Arial" w:eastAsia="Arial" w:hAnsi="Arial" w:cs="Arial"/>
                <w:b/>
              </w:rPr>
            </w:pPr>
            <w:r>
              <w:rPr>
                <w:rFonts w:ascii="Arial" w:eastAsia="Arial" w:hAnsi="Arial" w:cs="Arial"/>
                <w:b/>
              </w:rPr>
              <w:t>Delivery place and Incoterms rules</w:t>
            </w:r>
          </w:p>
        </w:tc>
        <w:tc>
          <w:tcPr>
            <w:tcW w:w="3121" w:type="dxa"/>
            <w:shd w:val="clear" w:color="auto" w:fill="auto"/>
            <w:vAlign w:val="center"/>
          </w:tcPr>
          <w:p w:rsidR="000D7869" w:rsidRPr="007D0442" w:rsidRDefault="00A27585">
            <w:pPr>
              <w:rPr>
                <w:rFonts w:ascii="Arial" w:eastAsia="Arial" w:hAnsi="Arial" w:cs="Arial"/>
              </w:rPr>
            </w:pPr>
            <w:r w:rsidRPr="007D0442">
              <w:rPr>
                <w:rFonts w:ascii="Arial" w:eastAsia="Arial" w:hAnsi="Arial" w:cs="Arial"/>
              </w:rPr>
              <w:t xml:space="preserve">Federal Ministry of Health - </w:t>
            </w:r>
            <w:r w:rsidR="00226F50" w:rsidRPr="007D0442">
              <w:rPr>
                <w:rFonts w:ascii="Arial" w:eastAsia="Arial" w:hAnsi="Arial" w:cs="Arial"/>
              </w:rPr>
              <w:t>Khartoum Sudan DAP as per Incoterms 2020.</w:t>
            </w:r>
          </w:p>
          <w:p w:rsidR="000D7869" w:rsidRPr="007D0442" w:rsidRDefault="00226F50">
            <w:pPr>
              <w:rPr>
                <w:rFonts w:ascii="Arial" w:eastAsia="Arial" w:hAnsi="Arial" w:cs="Arial"/>
              </w:rPr>
            </w:pPr>
            <w:r w:rsidRPr="007D0442">
              <w:rPr>
                <w:rFonts w:ascii="Arial" w:eastAsia="Arial" w:hAnsi="Arial" w:cs="Arial"/>
              </w:rPr>
              <w:t xml:space="preserve">Bidder shall facilitate all the necessary logistical arrangements related to getting the goods in the location indicated. </w:t>
            </w:r>
          </w:p>
        </w:tc>
        <w:tc>
          <w:tcPr>
            <w:tcW w:w="2126" w:type="dxa"/>
            <w:vAlign w:val="center"/>
          </w:tcPr>
          <w:p w:rsidR="000D7869" w:rsidRDefault="00226F50">
            <w:pP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0D7869" w:rsidRDefault="00226F50">
            <w:pPr>
              <w:rPr>
                <w:rFonts w:ascii="Arial" w:eastAsia="Arial" w:hAnsi="Arial" w:cs="Arial"/>
                <w:highlight w:val="yellow"/>
              </w:rPr>
            </w:pPr>
            <w:r>
              <w:rPr>
                <w:rFonts w:ascii="Arial" w:eastAsia="Arial" w:hAnsi="Arial" w:cs="Arial"/>
                <w:highlight w:val="cyan"/>
              </w:rPr>
              <w:t xml:space="preserve">Insert details </w:t>
            </w:r>
          </w:p>
        </w:tc>
      </w:tr>
      <w:tr w:rsidR="000D7869">
        <w:trPr>
          <w:trHeight w:val="306"/>
        </w:trPr>
        <w:tc>
          <w:tcPr>
            <w:tcW w:w="1702" w:type="dxa"/>
            <w:shd w:val="clear" w:color="auto" w:fill="D9D9D9"/>
            <w:vAlign w:val="center"/>
          </w:tcPr>
          <w:p w:rsidR="000D7869" w:rsidRDefault="00226F50">
            <w:pPr>
              <w:rPr>
                <w:rFonts w:ascii="Arial" w:eastAsia="Arial" w:hAnsi="Arial" w:cs="Arial"/>
                <w:b/>
              </w:rPr>
            </w:pPr>
            <w:r>
              <w:rPr>
                <w:rFonts w:ascii="Arial" w:eastAsia="Arial" w:hAnsi="Arial" w:cs="Arial"/>
                <w:b/>
              </w:rPr>
              <w:t>UNOPS Right to vary requirements</w:t>
            </w:r>
          </w:p>
        </w:tc>
        <w:tc>
          <w:tcPr>
            <w:tcW w:w="3121" w:type="dxa"/>
            <w:vAlign w:val="center"/>
          </w:tcPr>
          <w:p w:rsidR="000D7869" w:rsidRDefault="00226F50">
            <w:pPr>
              <w:pBdr>
                <w:top w:val="nil"/>
                <w:left w:val="nil"/>
                <w:bottom w:val="nil"/>
                <w:right w:val="nil"/>
                <w:between w:val="nil"/>
              </w:pBdr>
              <w:jc w:val="both"/>
              <w:rPr>
                <w:rFonts w:ascii="Arial" w:eastAsia="Arial" w:hAnsi="Arial" w:cs="Arial"/>
                <w:color w:val="000000"/>
                <w:sz w:val="24"/>
                <w:szCs w:val="24"/>
                <w:highlight w:val="lightGray"/>
              </w:rPr>
            </w:pPr>
            <w:r>
              <w:rPr>
                <w:rFonts w:ascii="Arial" w:eastAsia="Arial" w:hAnsi="Arial" w:cs="Arial"/>
                <w:color w:val="000000"/>
              </w:rPr>
              <w:t>At the time the Contract is awarded, UNOPS reserves the right to vary the quantity of the goods and associated services specified above, provided this does not exceed +/- 20%, without any change in the unit prices or other terms and conditions of the ITB.</w:t>
            </w:r>
          </w:p>
        </w:tc>
        <w:tc>
          <w:tcPr>
            <w:tcW w:w="2126" w:type="dxa"/>
            <w:vAlign w:val="center"/>
          </w:tcPr>
          <w:p w:rsidR="000D7869" w:rsidRDefault="00226F50">
            <w:pPr>
              <w:pBdr>
                <w:top w:val="nil"/>
                <w:left w:val="nil"/>
                <w:bottom w:val="nil"/>
                <w:right w:val="nil"/>
                <w:between w:val="nil"/>
              </w:pBdr>
              <w:jc w:val="both"/>
              <w:rPr>
                <w:rFonts w:ascii="Arial" w:eastAsia="Arial" w:hAnsi="Arial" w:cs="Arial"/>
                <w:color w:val="000000"/>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0D7869" w:rsidRDefault="00226F50">
            <w:pPr>
              <w:pBdr>
                <w:top w:val="nil"/>
                <w:left w:val="nil"/>
                <w:bottom w:val="nil"/>
                <w:right w:val="nil"/>
                <w:between w:val="nil"/>
              </w:pBdr>
              <w:jc w:val="both"/>
              <w:rPr>
                <w:rFonts w:ascii="Arial" w:eastAsia="Arial" w:hAnsi="Arial" w:cs="Arial"/>
                <w:color w:val="000000"/>
              </w:rPr>
            </w:pPr>
            <w:r>
              <w:rPr>
                <w:rFonts w:ascii="Arial" w:eastAsia="Arial" w:hAnsi="Arial" w:cs="Arial"/>
                <w:color w:val="000000"/>
                <w:highlight w:val="cyan"/>
              </w:rPr>
              <w:t xml:space="preserve">Insert details </w:t>
            </w:r>
          </w:p>
        </w:tc>
      </w:tr>
    </w:tbl>
    <w:p w:rsidR="000D7869" w:rsidRDefault="000D7869">
      <w:pPr>
        <w:pBdr>
          <w:top w:val="nil"/>
          <w:left w:val="nil"/>
          <w:bottom w:val="nil"/>
          <w:right w:val="nil"/>
          <w:between w:val="nil"/>
        </w:pBdr>
        <w:tabs>
          <w:tab w:val="left" w:pos="-720"/>
          <w:tab w:val="left" w:pos="0"/>
          <w:tab w:val="left" w:pos="720"/>
          <w:tab w:val="right" w:pos="8640"/>
        </w:tabs>
        <w:rPr>
          <w:b/>
          <w:color w:val="000000"/>
        </w:rPr>
      </w:pPr>
    </w:p>
    <w:p w:rsidR="000D7869" w:rsidRDefault="000D7869">
      <w:pPr>
        <w:pBdr>
          <w:top w:val="nil"/>
          <w:left w:val="nil"/>
          <w:bottom w:val="nil"/>
          <w:right w:val="nil"/>
          <w:between w:val="nil"/>
        </w:pBdr>
        <w:tabs>
          <w:tab w:val="left" w:pos="-720"/>
          <w:tab w:val="left" w:pos="0"/>
          <w:tab w:val="left" w:pos="720"/>
          <w:tab w:val="right" w:pos="8640"/>
        </w:tabs>
        <w:ind w:left="142"/>
        <w:rPr>
          <w:color w:val="000000"/>
        </w:rPr>
      </w:pPr>
    </w:p>
    <w:p w:rsidR="000D7869" w:rsidRDefault="000D7869">
      <w:pPr>
        <w:pBdr>
          <w:top w:val="nil"/>
          <w:left w:val="nil"/>
          <w:bottom w:val="nil"/>
          <w:right w:val="nil"/>
          <w:between w:val="nil"/>
        </w:pBdr>
        <w:tabs>
          <w:tab w:val="left" w:pos="-720"/>
          <w:tab w:val="left" w:pos="0"/>
          <w:tab w:val="left" w:pos="720"/>
          <w:tab w:val="right" w:pos="8640"/>
        </w:tabs>
        <w:rPr>
          <w:b/>
          <w:color w:val="000000"/>
        </w:rPr>
      </w:pPr>
    </w:p>
    <w:p w:rsidR="000D7869" w:rsidRDefault="00226F50">
      <w:pPr>
        <w:numPr>
          <w:ilvl w:val="0"/>
          <w:numId w:val="1"/>
        </w:numPr>
        <w:pBdr>
          <w:top w:val="nil"/>
          <w:left w:val="nil"/>
          <w:bottom w:val="nil"/>
          <w:right w:val="nil"/>
          <w:between w:val="nil"/>
        </w:pBdr>
        <w:tabs>
          <w:tab w:val="left" w:pos="-720"/>
          <w:tab w:val="left" w:pos="0"/>
          <w:tab w:val="left" w:pos="720"/>
          <w:tab w:val="right" w:pos="8640"/>
        </w:tabs>
        <w:ind w:left="284" w:hanging="284"/>
        <w:rPr>
          <w:b/>
          <w:color w:val="000000"/>
        </w:rPr>
      </w:pPr>
      <w:r>
        <w:rPr>
          <w:b/>
          <w:color w:val="000000"/>
        </w:rPr>
        <w:t xml:space="preserve"> Inspections and tests </w:t>
      </w:r>
    </w:p>
    <w:p w:rsidR="000D7869" w:rsidRDefault="000D7869">
      <w:pPr>
        <w:rPr>
          <w:i/>
          <w:color w:val="000000"/>
          <w:highlight w:val="lightGray"/>
        </w:rPr>
      </w:pPr>
    </w:p>
    <w:p w:rsidR="000D7869" w:rsidRDefault="00226F50">
      <w:pPr>
        <w:ind w:left="142"/>
        <w:rPr>
          <w:highlight w:val="lightGray"/>
        </w:rPr>
      </w:pPr>
      <w:r>
        <w:t xml:space="preserve">The following inspections and tests shall be performed: </w:t>
      </w:r>
    </w:p>
    <w:p w:rsidR="000D7869" w:rsidRDefault="00226F50">
      <w:pPr>
        <w:ind w:left="142"/>
        <w:jc w:val="both"/>
      </w:pPr>
      <w:r>
        <w:t xml:space="preserve">UNOPS or its representative shall inspect and/or test any or </w:t>
      </w:r>
      <w:proofErr w:type="gramStart"/>
      <w:r>
        <w:t>all  of</w:t>
      </w:r>
      <w:proofErr w:type="gramEnd"/>
      <w:r>
        <w:t xml:space="preserve"> the goods to confirm their conformity to the contract, on the time of delivery. Such inspection and clearance will not prejudice the right of the consignee to inspect and test the goods on receipt at destination.</w:t>
      </w:r>
    </w:p>
    <w:p w:rsidR="000D7869" w:rsidRDefault="000D7869">
      <w:pPr>
        <w:ind w:left="142"/>
        <w:jc w:val="both"/>
      </w:pPr>
    </w:p>
    <w:p w:rsidR="000D7869" w:rsidRDefault="00226F50">
      <w:pPr>
        <w:pStyle w:val="Subtitle"/>
        <w:ind w:left="142"/>
        <w:jc w:val="both"/>
        <w:rPr>
          <w:rFonts w:ascii="Arial" w:eastAsia="Arial" w:hAnsi="Arial" w:cs="Arial"/>
          <w:b w:val="0"/>
          <w:sz w:val="20"/>
          <w:szCs w:val="20"/>
        </w:rPr>
      </w:pPr>
      <w:r>
        <w:rPr>
          <w:rFonts w:ascii="Arial" w:eastAsia="Arial" w:hAnsi="Arial" w:cs="Arial"/>
          <w:b w:val="0"/>
          <w:sz w:val="20"/>
          <w:szCs w:val="20"/>
        </w:rPr>
        <w:t>If the goods fail to meet the laid down specifications, the supplier shall take immediate steps to remedy the deficiency or replace the defective goods to the satisfaction of the purchaser.</w:t>
      </w:r>
    </w:p>
    <w:p w:rsidR="000D7869" w:rsidRDefault="000D7869"/>
    <w:sectPr w:rsidR="000D7869">
      <w:headerReference w:type="default" r:id="rId7"/>
      <w:footerReference w:type="default" r:id="rId8"/>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80B" w:rsidRDefault="00B7380B">
      <w:r>
        <w:separator/>
      </w:r>
    </w:p>
  </w:endnote>
  <w:endnote w:type="continuationSeparator" w:id="0">
    <w:p w:rsidR="00B7380B" w:rsidRDefault="00B73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869" w:rsidRDefault="000D7869">
    <w:pPr>
      <w:widowControl w:val="0"/>
      <w:pBdr>
        <w:top w:val="nil"/>
        <w:left w:val="nil"/>
        <w:bottom w:val="nil"/>
        <w:right w:val="nil"/>
        <w:between w:val="nil"/>
      </w:pBdr>
      <w:spacing w:line="276" w:lineRule="auto"/>
      <w:rPr>
        <w:color w:val="000000"/>
      </w:rPr>
    </w:pPr>
  </w:p>
  <w:tbl>
    <w:tblPr>
      <w:tblStyle w:val="a1"/>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0D7869">
      <w:tc>
        <w:tcPr>
          <w:tcW w:w="4596" w:type="dxa"/>
        </w:tcPr>
        <w:p w:rsidR="000D7869" w:rsidRDefault="00226F50">
          <w:pPr>
            <w:pBdr>
              <w:top w:val="nil"/>
              <w:left w:val="nil"/>
              <w:bottom w:val="nil"/>
              <w:right w:val="nil"/>
              <w:between w:val="nil"/>
            </w:pBdr>
            <w:tabs>
              <w:tab w:val="center" w:pos="4320"/>
              <w:tab w:val="right" w:pos="8640"/>
            </w:tabs>
            <w:rPr>
              <w:rFonts w:ascii="Arial" w:eastAsia="Arial" w:hAnsi="Arial" w:cs="Arial"/>
              <w:color w:val="000000"/>
              <w:sz w:val="18"/>
              <w:szCs w:val="18"/>
            </w:rPr>
          </w:pPr>
          <w:r>
            <w:rPr>
              <w:noProof/>
              <w:color w:val="000000"/>
              <w:sz w:val="18"/>
              <w:szCs w:val="18"/>
              <w:lang w:val="en-US"/>
            </w:rPr>
            <w:drawing>
              <wp:inline distT="0" distB="0" distL="0" distR="0">
                <wp:extent cx="844475" cy="144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44475" cy="144000"/>
                        </a:xfrm>
                        <a:prstGeom prst="rect">
                          <a:avLst/>
                        </a:prstGeom>
                        <a:ln/>
                      </pic:spPr>
                    </pic:pic>
                  </a:graphicData>
                </a:graphic>
              </wp:inline>
            </w:drawing>
          </w:r>
        </w:p>
      </w:tc>
      <w:tc>
        <w:tcPr>
          <w:tcW w:w="5293" w:type="dxa"/>
        </w:tcPr>
        <w:p w:rsidR="000D7869" w:rsidRDefault="00226F5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2E1824">
            <w:rPr>
              <w:noProof/>
              <w:color w:val="000000"/>
              <w:sz w:val="18"/>
              <w:szCs w:val="18"/>
            </w:rPr>
            <w:t>1</w:t>
          </w:r>
          <w:r>
            <w:rPr>
              <w:color w:val="000000"/>
              <w:sz w:val="18"/>
              <w:szCs w:val="18"/>
            </w:rPr>
            <w:fldChar w:fldCharType="end"/>
          </w:r>
        </w:p>
      </w:tc>
    </w:tr>
  </w:tbl>
  <w:p w:rsidR="000D7869" w:rsidRDefault="000D7869">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80B" w:rsidRDefault="00B7380B">
      <w:r>
        <w:separator/>
      </w:r>
    </w:p>
  </w:footnote>
  <w:footnote w:type="continuationSeparator" w:id="0">
    <w:p w:rsidR="00B7380B" w:rsidRDefault="00B73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869" w:rsidRDefault="000D7869">
    <w:pPr>
      <w:widowControl w:val="0"/>
      <w:pBdr>
        <w:top w:val="nil"/>
        <w:left w:val="nil"/>
        <w:bottom w:val="nil"/>
        <w:right w:val="nil"/>
        <w:between w:val="nil"/>
      </w:pBdr>
      <w:spacing w:line="276" w:lineRule="auto"/>
    </w:pPr>
  </w:p>
  <w:tbl>
    <w:tblPr>
      <w:tblStyle w:val="a0"/>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0D7869">
      <w:tc>
        <w:tcPr>
          <w:tcW w:w="9889" w:type="dxa"/>
        </w:tcPr>
        <w:p w:rsidR="000D7869" w:rsidRDefault="00226F5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ITB/2021/34798</w:t>
          </w:r>
        </w:p>
      </w:tc>
      <w:tc>
        <w:tcPr>
          <w:tcW w:w="9889" w:type="dxa"/>
        </w:tcPr>
        <w:p w:rsidR="000D7869" w:rsidRDefault="00226F5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ITB Ref No: </w:t>
          </w:r>
          <w:r>
            <w:rPr>
              <w:rFonts w:ascii="Arial" w:eastAsia="Arial" w:hAnsi="Arial" w:cs="Arial"/>
              <w:color w:val="000000"/>
              <w:sz w:val="18"/>
              <w:szCs w:val="18"/>
              <w:highlight w:val="yellow"/>
            </w:rPr>
            <w:t>xxx</w:t>
          </w:r>
        </w:p>
      </w:tc>
    </w:tr>
  </w:tbl>
  <w:p w:rsidR="000D7869" w:rsidRDefault="000D7869">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0422EF"/>
    <w:multiLevelType w:val="multilevel"/>
    <w:tmpl w:val="CBDA0EB6"/>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869"/>
    <w:rsid w:val="000D7869"/>
    <w:rsid w:val="00226F50"/>
    <w:rsid w:val="002E1824"/>
    <w:rsid w:val="00433009"/>
    <w:rsid w:val="007D0442"/>
    <w:rsid w:val="00A27585"/>
    <w:rsid w:val="00B7380B"/>
    <w:rsid w:val="00BA48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89776"/>
  <w15:docId w15:val="{3D7044C2-ADB9-4030-8D22-2789259F2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Nasreddin</cp:lastModifiedBy>
  <cp:revision>6</cp:revision>
  <dcterms:created xsi:type="dcterms:W3CDTF">2021-12-14T10:41:00Z</dcterms:created>
  <dcterms:modified xsi:type="dcterms:W3CDTF">2021-12-15T07:53:00Z</dcterms:modified>
</cp:coreProperties>
</file>