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[list derogations to the General Conditions, or state ‘None applicable’]</w:t>
      </w:r>
      <w:r w:rsidDel="00000000" w:rsidR="00000000" w:rsidRPr="00000000">
        <w:rPr>
          <w:rtl w:val="0"/>
        </w:rPr>
      </w:r>
    </w:p>
    <w:p w:rsidR="00000000" w:rsidDel="00000000" w:rsidP="00000000" w:rsidRDefault="00000000" w:rsidRPr="00000000" w14:paraId="0000006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tbl>
      <w:tblPr>
        <w:tblStyle w:val="Table2"/>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0">
      <w:pPr>
        <w:pageBreakBefore w:val="0"/>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