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AC9C42" w14:textId="0C6FEDCE" w:rsidR="00CC1B05" w:rsidRPr="00CC1B05" w:rsidRDefault="00CC1B05" w:rsidP="00CC1B05">
      <w:pPr>
        <w:spacing w:after="0" w:line="240" w:lineRule="auto"/>
        <w:jc w:val="right"/>
        <w:rPr>
          <w:rFonts w:ascii="Calibri" w:eastAsia="Times New Roman" w:hAnsi="Calibri" w:cs="Calibri"/>
          <w:b/>
          <w:sz w:val="32"/>
          <w:szCs w:val="32"/>
        </w:rPr>
      </w:pPr>
    </w:p>
    <w:p w14:paraId="72E504F9" w14:textId="77777777" w:rsidR="00B028D8" w:rsidRPr="0067428C" w:rsidRDefault="00B028D8" w:rsidP="00B028D8">
      <w:pPr>
        <w:pStyle w:val="Titre1"/>
        <w:jc w:val="center"/>
        <w:rPr>
          <w:rFonts w:ascii="Myriad Pro" w:hAnsi="Myriad Pro"/>
          <w:i/>
          <w:noProof/>
          <w:lang w:val="fr-FR"/>
        </w:rPr>
      </w:pPr>
      <w:r w:rsidRPr="0067428C">
        <w:rPr>
          <w:rFonts w:asciiTheme="minorHAnsi" w:hAnsiTheme="minorHAnsi" w:cstheme="minorHAnsi"/>
          <w:b/>
          <w:bCs/>
          <w:color w:val="auto"/>
          <w:lang w:val="fr-FR"/>
        </w:rPr>
        <w:t>DEMANDE DE PRIX (RFQ)</w:t>
      </w:r>
      <w:r w:rsidRPr="0067428C">
        <w:rPr>
          <w:rFonts w:ascii="Myriad Pro" w:hAnsi="Myriad Pro"/>
          <w:i/>
          <w:noProof/>
          <w:lang w:val="fr-FR"/>
        </w:rPr>
        <w:t xml:space="preserve"> </w:t>
      </w:r>
    </w:p>
    <w:p w14:paraId="56FCAE12" w14:textId="77777777" w:rsidR="00B028D8" w:rsidRPr="0067428C" w:rsidRDefault="00B028D8" w:rsidP="00B028D8"/>
    <w:p w14:paraId="36AEBBA3" w14:textId="5BAAE47E" w:rsidR="00B028D8" w:rsidRPr="000C71DB" w:rsidRDefault="00B028D8" w:rsidP="00B028D8">
      <w:pPr>
        <w:jc w:val="center"/>
      </w:pPr>
      <w:r w:rsidRPr="00DE7306">
        <w:rPr>
          <w:rFonts w:cstheme="minorHAnsi"/>
        </w:rPr>
        <w:t>RFQ :</w:t>
      </w:r>
      <w:bookmarkStart w:id="0" w:name="_Hlk515983373"/>
      <w:r w:rsidRPr="00DE7306">
        <w:rPr>
          <w:rFonts w:cstheme="minorHAnsi"/>
        </w:rPr>
        <w:t xml:space="preserve"> </w:t>
      </w:r>
      <w:r w:rsidRPr="00DE7306">
        <w:rPr>
          <w:rFonts w:cstheme="minorHAnsi"/>
          <w:b/>
        </w:rPr>
        <w:t>614/RFQ/PDSPE/</w:t>
      </w:r>
      <w:bookmarkEnd w:id="0"/>
      <w:r w:rsidRPr="00DE7306">
        <w:rPr>
          <w:rFonts w:cstheme="minorHAnsi"/>
          <w:b/>
        </w:rPr>
        <w:t>2021</w:t>
      </w:r>
      <w:r>
        <w:rPr>
          <w:rFonts w:cstheme="minorHAnsi"/>
          <w:b/>
        </w:rPr>
        <w:t xml:space="preserve"> (Relance)</w:t>
      </w:r>
    </w:p>
    <w:p w14:paraId="1902CD8B" w14:textId="77777777" w:rsidR="00B028D8" w:rsidRDefault="00B028D8" w:rsidP="00B028D8">
      <w:sdt>
        <w:sdtPr>
          <w:alias w:val="Name of procuring organisation"/>
          <w:tag w:val="Name of procuring organisation"/>
          <w:id w:val="-1213885950"/>
          <w:placeholder>
            <w:docPart w:val="076E22E782734ACEBA5875CD5D32D608"/>
          </w:placeholder>
          <w:text/>
        </w:sdtPr>
        <w:sdtContent>
          <w:r>
            <w:t xml:space="preserve">Le PNUD </w:t>
          </w:r>
        </w:sdtContent>
      </w:sdt>
      <w:r>
        <w:t xml:space="preserve"> vous invite à remettre votre offre de prix </w:t>
      </w:r>
      <w:r w:rsidRPr="008E32FE">
        <w:rPr>
          <w:lang w:val="fr"/>
        </w:rPr>
        <w:t>pour la fourniture de biens, de travaux et/ou de services, conformément à l’annexe 1 de la présente RFQ</w:t>
      </w:r>
      <w:r w:rsidRPr="00C67D24">
        <w:t xml:space="preserve">. </w:t>
      </w:r>
    </w:p>
    <w:p w14:paraId="1B94179A" w14:textId="77777777" w:rsidR="00B028D8" w:rsidRDefault="00B028D8" w:rsidP="00B028D8">
      <w:pPr>
        <w:spacing w:after="0"/>
        <w:jc w:val="center"/>
        <w:outlineLvl w:val="0"/>
        <w:rPr>
          <w:rFonts w:cstheme="minorHAnsi"/>
          <w:b/>
          <w:color w:val="833C0B" w:themeColor="accent2" w:themeShade="80"/>
          <w:sz w:val="28"/>
          <w:szCs w:val="28"/>
        </w:rPr>
      </w:pPr>
      <w:r>
        <w:rPr>
          <w:rFonts w:cstheme="minorHAnsi"/>
          <w:b/>
          <w:color w:val="833C0B" w:themeColor="accent2" w:themeShade="80"/>
          <w:sz w:val="28"/>
          <w:szCs w:val="28"/>
        </w:rPr>
        <w:t>Fourniture et livraison d’équipements et de matériels pour les opérateurs sélectionnés au niveau de la Zone de Transformation Economique</w:t>
      </w:r>
    </w:p>
    <w:p w14:paraId="1B5A3B13" w14:textId="77777777" w:rsidR="00B028D8" w:rsidRDefault="00B028D8" w:rsidP="00B028D8">
      <w:pPr>
        <w:spacing w:after="0"/>
        <w:jc w:val="center"/>
        <w:outlineLvl w:val="0"/>
        <w:rPr>
          <w:rFonts w:cstheme="minorHAnsi"/>
          <w:b/>
          <w:color w:val="833C0B" w:themeColor="accent2" w:themeShade="80"/>
          <w:sz w:val="28"/>
          <w:szCs w:val="28"/>
        </w:rPr>
      </w:pPr>
      <w:proofErr w:type="gramStart"/>
      <w:r>
        <w:rPr>
          <w:rFonts w:cstheme="minorHAnsi"/>
          <w:b/>
          <w:color w:val="833C0B" w:themeColor="accent2" w:themeShade="80"/>
          <w:sz w:val="28"/>
          <w:szCs w:val="28"/>
        </w:rPr>
        <w:t>dans</w:t>
      </w:r>
      <w:proofErr w:type="gramEnd"/>
      <w:r>
        <w:rPr>
          <w:rFonts w:cstheme="minorHAnsi"/>
          <w:b/>
          <w:color w:val="833C0B" w:themeColor="accent2" w:themeShade="80"/>
          <w:sz w:val="28"/>
          <w:szCs w:val="28"/>
        </w:rPr>
        <w:t xml:space="preserve"> la région d’Androy </w:t>
      </w:r>
    </w:p>
    <w:p w14:paraId="6F99105B" w14:textId="77777777" w:rsidR="00B028D8" w:rsidRDefault="00B028D8" w:rsidP="00B028D8">
      <w:pPr>
        <w:spacing w:after="0"/>
        <w:jc w:val="center"/>
        <w:outlineLvl w:val="0"/>
        <w:rPr>
          <w:rFonts w:cstheme="minorHAnsi"/>
          <w:b/>
          <w:color w:val="833C0B" w:themeColor="accent2" w:themeShade="80"/>
          <w:sz w:val="28"/>
          <w:szCs w:val="28"/>
        </w:rPr>
      </w:pPr>
      <w:proofErr w:type="gramStart"/>
      <w:r>
        <w:rPr>
          <w:rFonts w:cstheme="minorHAnsi"/>
          <w:b/>
          <w:color w:val="833C0B" w:themeColor="accent2" w:themeShade="80"/>
          <w:sz w:val="28"/>
          <w:szCs w:val="28"/>
        </w:rPr>
        <w:t>et</w:t>
      </w:r>
      <w:proofErr w:type="gramEnd"/>
      <w:r>
        <w:rPr>
          <w:rFonts w:cstheme="minorHAnsi"/>
          <w:b/>
          <w:color w:val="833C0B" w:themeColor="accent2" w:themeShade="80"/>
          <w:sz w:val="28"/>
          <w:szCs w:val="28"/>
        </w:rPr>
        <w:t xml:space="preserve"> d’équipements informatiques dans la région d’</w:t>
      </w:r>
      <w:proofErr w:type="spellStart"/>
      <w:r>
        <w:rPr>
          <w:rFonts w:cstheme="minorHAnsi"/>
          <w:b/>
          <w:color w:val="833C0B" w:themeColor="accent2" w:themeShade="80"/>
          <w:sz w:val="28"/>
          <w:szCs w:val="28"/>
        </w:rPr>
        <w:t>Analamanga</w:t>
      </w:r>
      <w:proofErr w:type="spellEnd"/>
      <w:r>
        <w:rPr>
          <w:rFonts w:cstheme="minorHAnsi"/>
          <w:b/>
          <w:color w:val="833C0B" w:themeColor="accent2" w:themeShade="80"/>
          <w:sz w:val="28"/>
          <w:szCs w:val="28"/>
        </w:rPr>
        <w:t>,</w:t>
      </w:r>
    </w:p>
    <w:p w14:paraId="5E1565B3" w14:textId="77777777" w:rsidR="00B028D8" w:rsidRDefault="00B028D8" w:rsidP="00B028D8">
      <w:pPr>
        <w:jc w:val="center"/>
        <w:outlineLvl w:val="0"/>
        <w:rPr>
          <w:rFonts w:cstheme="minorHAnsi"/>
          <w:b/>
          <w:color w:val="833C0B" w:themeColor="accent2" w:themeShade="80"/>
          <w:sz w:val="28"/>
          <w:szCs w:val="28"/>
        </w:rPr>
      </w:pPr>
      <w:proofErr w:type="gramStart"/>
      <w:r>
        <w:rPr>
          <w:rFonts w:cstheme="minorHAnsi"/>
          <w:b/>
          <w:color w:val="833C0B" w:themeColor="accent2" w:themeShade="80"/>
          <w:sz w:val="28"/>
          <w:szCs w:val="28"/>
        </w:rPr>
        <w:t>répartis</w:t>
      </w:r>
      <w:proofErr w:type="gramEnd"/>
      <w:r>
        <w:rPr>
          <w:rFonts w:cstheme="minorHAnsi"/>
          <w:b/>
          <w:color w:val="833C0B" w:themeColor="accent2" w:themeShade="80"/>
          <w:sz w:val="28"/>
          <w:szCs w:val="28"/>
        </w:rPr>
        <w:t xml:space="preserve"> en cinq (05) lots :</w:t>
      </w:r>
    </w:p>
    <w:p w14:paraId="75EB5A91" w14:textId="77777777" w:rsidR="00B028D8" w:rsidRPr="00BB4612" w:rsidRDefault="00B028D8" w:rsidP="00B028D8">
      <w:pPr>
        <w:ind w:left="567" w:firstLine="1"/>
        <w:outlineLvl w:val="0"/>
        <w:rPr>
          <w:rFonts w:cstheme="minorHAnsi"/>
          <w:b/>
          <w:color w:val="833C0B" w:themeColor="accent2" w:themeShade="80"/>
          <w:sz w:val="24"/>
          <w:szCs w:val="28"/>
        </w:rPr>
      </w:pPr>
      <w:r w:rsidRPr="00BB4612">
        <w:rPr>
          <w:rFonts w:cstheme="minorHAnsi"/>
          <w:b/>
          <w:color w:val="833C0B" w:themeColor="accent2" w:themeShade="80"/>
          <w:sz w:val="24"/>
          <w:szCs w:val="28"/>
        </w:rPr>
        <w:t>Lot 1 : KIT BOULANGERIE</w:t>
      </w:r>
    </w:p>
    <w:p w14:paraId="60FE6502" w14:textId="77777777" w:rsidR="00B028D8" w:rsidRPr="00BB4612" w:rsidRDefault="00B028D8" w:rsidP="00B028D8">
      <w:pPr>
        <w:ind w:left="567" w:firstLine="1"/>
        <w:outlineLvl w:val="0"/>
        <w:rPr>
          <w:rFonts w:cstheme="minorHAnsi"/>
          <w:b/>
          <w:color w:val="833C0B" w:themeColor="accent2" w:themeShade="80"/>
          <w:sz w:val="24"/>
          <w:szCs w:val="28"/>
        </w:rPr>
      </w:pPr>
      <w:r w:rsidRPr="00BB4612">
        <w:rPr>
          <w:rFonts w:cstheme="minorHAnsi"/>
          <w:b/>
          <w:color w:val="833C0B" w:themeColor="accent2" w:themeShade="80"/>
          <w:sz w:val="24"/>
          <w:szCs w:val="28"/>
        </w:rPr>
        <w:t>Lot 2 : KIT MACHINE A GLACE</w:t>
      </w:r>
    </w:p>
    <w:p w14:paraId="1A75F324" w14:textId="77777777" w:rsidR="00B028D8" w:rsidRPr="00BB4612" w:rsidRDefault="00B028D8" w:rsidP="00B028D8">
      <w:pPr>
        <w:ind w:left="567"/>
        <w:outlineLvl w:val="0"/>
        <w:rPr>
          <w:rFonts w:cstheme="minorHAnsi"/>
          <w:b/>
          <w:color w:val="833C0B" w:themeColor="accent2" w:themeShade="80"/>
          <w:sz w:val="24"/>
          <w:szCs w:val="28"/>
        </w:rPr>
      </w:pPr>
      <w:r w:rsidRPr="00BB4612">
        <w:rPr>
          <w:rFonts w:cstheme="minorHAnsi"/>
          <w:b/>
          <w:color w:val="833C0B" w:themeColor="accent2" w:themeShade="80"/>
          <w:sz w:val="24"/>
          <w:szCs w:val="28"/>
        </w:rPr>
        <w:t xml:space="preserve">Lot 3 : EQUIPEMENTS </w:t>
      </w:r>
      <w:r>
        <w:rPr>
          <w:rFonts w:cstheme="minorHAnsi"/>
          <w:b/>
          <w:color w:val="833C0B" w:themeColor="accent2" w:themeShade="80"/>
          <w:sz w:val="24"/>
          <w:szCs w:val="28"/>
        </w:rPr>
        <w:t>POUR</w:t>
      </w:r>
      <w:r w:rsidRPr="00BB4612">
        <w:rPr>
          <w:rFonts w:cstheme="minorHAnsi"/>
          <w:b/>
          <w:color w:val="833C0B" w:themeColor="accent2" w:themeShade="80"/>
          <w:sz w:val="24"/>
          <w:szCs w:val="28"/>
        </w:rPr>
        <w:t xml:space="preserve"> TRANSFORMATION DE L’HUILE DE RICIN EN ALKYDE</w:t>
      </w:r>
    </w:p>
    <w:p w14:paraId="39FD77C2" w14:textId="77777777" w:rsidR="00B028D8" w:rsidRDefault="00B028D8" w:rsidP="00B028D8">
      <w:pPr>
        <w:ind w:left="567"/>
        <w:outlineLvl w:val="0"/>
        <w:rPr>
          <w:rFonts w:cstheme="minorHAnsi"/>
          <w:b/>
          <w:color w:val="833C0B" w:themeColor="accent2" w:themeShade="80"/>
          <w:sz w:val="24"/>
          <w:szCs w:val="28"/>
        </w:rPr>
      </w:pPr>
      <w:r w:rsidRPr="00BB4612">
        <w:rPr>
          <w:rFonts w:cstheme="minorHAnsi"/>
          <w:b/>
          <w:color w:val="833C0B" w:themeColor="accent2" w:themeShade="80"/>
          <w:sz w:val="24"/>
          <w:szCs w:val="28"/>
        </w:rPr>
        <w:t>Lot 4 : VULCANISATION</w:t>
      </w:r>
    </w:p>
    <w:p w14:paraId="4BE8127C" w14:textId="77777777" w:rsidR="00B028D8" w:rsidRPr="00BB4612" w:rsidRDefault="00B028D8" w:rsidP="00B028D8">
      <w:pPr>
        <w:ind w:left="567"/>
        <w:outlineLvl w:val="0"/>
        <w:rPr>
          <w:rFonts w:cstheme="minorHAnsi"/>
          <w:b/>
          <w:color w:val="833C0B" w:themeColor="accent2" w:themeShade="80"/>
          <w:sz w:val="24"/>
          <w:szCs w:val="28"/>
        </w:rPr>
      </w:pPr>
      <w:r>
        <w:rPr>
          <w:rFonts w:cstheme="minorHAnsi"/>
          <w:b/>
          <w:color w:val="833C0B" w:themeColor="accent2" w:themeShade="80"/>
          <w:sz w:val="24"/>
          <w:szCs w:val="28"/>
        </w:rPr>
        <w:t>Lot 5 : MATERIELS INFORMATIQUES</w:t>
      </w:r>
    </w:p>
    <w:p w14:paraId="211A040D" w14:textId="77777777" w:rsidR="00B028D8" w:rsidRPr="00C67D24" w:rsidRDefault="00B028D8" w:rsidP="00B028D8">
      <w:r w:rsidRPr="00C67D24">
        <w:t>Cette demande de prix comprend les docum</w:t>
      </w:r>
      <w:r>
        <w:t xml:space="preserve">ents suivants : </w:t>
      </w:r>
      <w:r w:rsidRPr="00C67D24">
        <w:t xml:space="preserve"> </w:t>
      </w:r>
    </w:p>
    <w:p w14:paraId="7E1A3ADD" w14:textId="77777777" w:rsidR="00B028D8" w:rsidRPr="000A0670" w:rsidRDefault="00B028D8" w:rsidP="00B028D8">
      <w:pPr>
        <w:ind w:left="284"/>
      </w:pPr>
      <w:r w:rsidRPr="000A0670">
        <w:t>Section 1 : Cette lettre</w:t>
      </w:r>
      <w:r>
        <w:t xml:space="preserve"> d’</w:t>
      </w:r>
      <w:r w:rsidRPr="000A0670">
        <w:t>invitation</w:t>
      </w:r>
    </w:p>
    <w:p w14:paraId="4F512FD0" w14:textId="77777777" w:rsidR="00B028D8" w:rsidRPr="000A0670" w:rsidRDefault="00B028D8" w:rsidP="00B028D8">
      <w:pPr>
        <w:ind w:left="284"/>
      </w:pPr>
      <w:r w:rsidRPr="000A0670">
        <w:t xml:space="preserve">Section 2 : RFQ </w:t>
      </w:r>
      <w:r>
        <w:t>Instructions et Données</w:t>
      </w:r>
    </w:p>
    <w:p w14:paraId="78A41E65" w14:textId="4A02FB6C" w:rsidR="00B028D8" w:rsidRPr="000A0670" w:rsidRDefault="00B028D8" w:rsidP="00B028D8">
      <w:pPr>
        <w:ind w:left="284"/>
      </w:pPr>
      <w:r w:rsidRPr="000A0670">
        <w:t>Annex</w:t>
      </w:r>
      <w:r>
        <w:t>e</w:t>
      </w:r>
      <w:r w:rsidRPr="000A0670">
        <w:t xml:space="preserve"> 1 : </w:t>
      </w:r>
      <w:r w:rsidRPr="000A0670">
        <w:tab/>
      </w:r>
      <w:r>
        <w:t>Calendrier des exigences</w:t>
      </w:r>
    </w:p>
    <w:p w14:paraId="4B2EEEBE" w14:textId="77777777" w:rsidR="00B028D8" w:rsidRPr="000A0670" w:rsidRDefault="00B028D8" w:rsidP="00B028D8">
      <w:pPr>
        <w:ind w:left="284"/>
      </w:pPr>
      <w:r w:rsidRPr="000A0670">
        <w:t>Annex</w:t>
      </w:r>
      <w:r>
        <w:t>e</w:t>
      </w:r>
      <w:r w:rsidRPr="000A0670">
        <w:t xml:space="preserve"> 2 : </w:t>
      </w:r>
      <w:r>
        <w:t>Formulaire de soumission de l’Offre</w:t>
      </w:r>
    </w:p>
    <w:p w14:paraId="6289D825" w14:textId="77777777" w:rsidR="00B028D8" w:rsidRPr="00D2560E" w:rsidRDefault="00B028D8" w:rsidP="00B028D8">
      <w:pPr>
        <w:ind w:left="284"/>
      </w:pPr>
      <w:r w:rsidRPr="000A0670">
        <w:t>Annex</w:t>
      </w:r>
      <w:r>
        <w:t>e</w:t>
      </w:r>
      <w:r w:rsidRPr="000A0670">
        <w:t xml:space="preserve"> 3 :</w:t>
      </w:r>
      <w:r w:rsidRPr="00D2560E">
        <w:t xml:space="preserve"> Offre technique et financière</w:t>
      </w:r>
    </w:p>
    <w:p w14:paraId="5D35FD93" w14:textId="77777777" w:rsidR="00B028D8" w:rsidRPr="00D2560E" w:rsidRDefault="00B028D8" w:rsidP="00B028D8">
      <w:pPr>
        <w:jc w:val="both"/>
      </w:pPr>
      <w:r>
        <w:rPr>
          <w:lang w:val="fr"/>
        </w:rPr>
        <w:t>Lors de la préparation de votre devis, veuillez suivre les instructions et données de la RFQ</w:t>
      </w:r>
      <w:r w:rsidRPr="00D2560E">
        <w:t xml:space="preserve">. Veuillez noter que les devis doivent être présentés à l’aide de l’annexe 2 : </w:t>
      </w:r>
      <w:r>
        <w:rPr>
          <w:lang w:val="fr"/>
        </w:rPr>
        <w:t xml:space="preserve">Formulaire de soumission de l’Offre </w:t>
      </w:r>
      <w:r>
        <w:t xml:space="preserve">et </w:t>
      </w:r>
      <w:r w:rsidRPr="00D2560E">
        <w:t>Annexe 3</w:t>
      </w:r>
      <w:r>
        <w:t xml:space="preserve"> : </w:t>
      </w:r>
      <w:r w:rsidRPr="00D2560E">
        <w:rPr>
          <w:lang w:val="fr"/>
        </w:rPr>
        <w:t>Offre technique et financière</w:t>
      </w:r>
      <w:r w:rsidRPr="00D2560E">
        <w:t xml:space="preserve">, </w:t>
      </w:r>
      <w:r>
        <w:rPr>
          <w:lang w:val="fr"/>
        </w:rPr>
        <w:t xml:space="preserve">selon </w:t>
      </w:r>
      <w:r w:rsidRPr="00D2560E">
        <w:rPr>
          <w:lang w:val="fr"/>
        </w:rPr>
        <w:t xml:space="preserve">la méthode et </w:t>
      </w:r>
      <w:r>
        <w:rPr>
          <w:lang w:val="fr"/>
        </w:rPr>
        <w:t>à</w:t>
      </w:r>
      <w:r w:rsidRPr="00D2560E">
        <w:rPr>
          <w:lang w:val="fr"/>
        </w:rPr>
        <w:t xml:space="preserve"> la date et l’heure indiquées </w:t>
      </w:r>
      <w:r>
        <w:rPr>
          <w:lang w:val="fr"/>
        </w:rPr>
        <w:t>en</w:t>
      </w:r>
      <w:r w:rsidRPr="00D2560E">
        <w:t xml:space="preserve"> Section 2. </w:t>
      </w:r>
      <w:r>
        <w:rPr>
          <w:lang w:val="fr"/>
        </w:rPr>
        <w:t>Il est de votre responsabilité de veiller à ce que votre devis soit soumis avant la date limite</w:t>
      </w:r>
      <w:r w:rsidRPr="00D2560E">
        <w:t xml:space="preserve">. </w:t>
      </w:r>
      <w:r>
        <w:rPr>
          <w:lang w:val="fr"/>
        </w:rPr>
        <w:t>Les offres reçues après la date limite de soumission, pour quelque raison que ce soit, ne seront pas prises en considération pour évaluation.</w:t>
      </w:r>
    </w:p>
    <w:p w14:paraId="7B4DCD16" w14:textId="605C4722" w:rsidR="00B028D8" w:rsidRDefault="00B028D8" w:rsidP="00B028D8">
      <w:pPr>
        <w:jc w:val="both"/>
        <w:rPr>
          <w:b/>
        </w:rPr>
      </w:pPr>
      <w:r w:rsidRPr="00A64583">
        <w:t>Les offres de prix peuvent être soumises jusqu’au</w:t>
      </w:r>
      <w:r w:rsidRPr="00A64583">
        <w:rPr>
          <w:b/>
        </w:rPr>
        <w:t xml:space="preserve"> </w:t>
      </w:r>
      <w:r>
        <w:rPr>
          <w:b/>
        </w:rPr>
        <w:t>21</w:t>
      </w:r>
      <w:r>
        <w:rPr>
          <w:b/>
        </w:rPr>
        <w:t xml:space="preserve"> décembre</w:t>
      </w:r>
      <w:r w:rsidRPr="00A61D5E">
        <w:rPr>
          <w:b/>
        </w:rPr>
        <w:t xml:space="preserve"> 2021 à 10h00</w:t>
      </w:r>
      <w:r w:rsidRPr="00A64583">
        <w:rPr>
          <w:b/>
        </w:rPr>
        <w:t xml:space="preserve">, heure locale d’Antananarivo </w:t>
      </w:r>
      <w:r w:rsidRPr="00A64583">
        <w:t>par voie électronique à l’adresse </w:t>
      </w:r>
      <w:proofErr w:type="gramStart"/>
      <w:r w:rsidRPr="00A64583">
        <w:t>email</w:t>
      </w:r>
      <w:proofErr w:type="gramEnd"/>
      <w:r w:rsidRPr="00A64583">
        <w:t xml:space="preserve"> </w:t>
      </w:r>
      <w:hyperlink r:id="rId6" w:history="1">
        <w:r w:rsidRPr="00A64583">
          <w:rPr>
            <w:rStyle w:val="Lienhypertexte"/>
          </w:rPr>
          <w:t>offres.mg@undp.org</w:t>
        </w:r>
      </w:hyperlink>
      <w:r w:rsidRPr="00A64583">
        <w:t xml:space="preserve"> </w:t>
      </w:r>
      <w:r w:rsidRPr="00A64583">
        <w:rPr>
          <w:b/>
        </w:rPr>
        <w:t xml:space="preserve">en mentionnant la référence </w:t>
      </w:r>
      <w:r w:rsidRPr="009F278E">
        <w:rPr>
          <w:b/>
        </w:rPr>
        <w:t>614/RFQ/PSDPE/2021</w:t>
      </w:r>
      <w:r>
        <w:rPr>
          <w:b/>
        </w:rPr>
        <w:t xml:space="preserve"> </w:t>
      </w:r>
    </w:p>
    <w:p w14:paraId="72C1B947" w14:textId="77777777" w:rsidR="00B028D8" w:rsidRPr="00C40BFC" w:rsidRDefault="00B028D8" w:rsidP="00B028D8">
      <w:pPr>
        <w:jc w:val="both"/>
      </w:pPr>
      <w:r>
        <w:t xml:space="preserve">Nous vous remercions et espérons </w:t>
      </w:r>
      <w:r w:rsidRPr="008E32FE">
        <w:rPr>
          <w:lang w:val="fr"/>
        </w:rPr>
        <w:t xml:space="preserve">recevoir </w:t>
      </w:r>
      <w:r>
        <w:rPr>
          <w:lang w:val="fr"/>
        </w:rPr>
        <w:t>votre offre</w:t>
      </w:r>
      <w:r w:rsidRPr="00C40BFC">
        <w:t>.</w:t>
      </w:r>
    </w:p>
    <w:p w14:paraId="62CD8CE6" w14:textId="0D6C90FC" w:rsidR="00CC1B05" w:rsidRPr="00CC1B05" w:rsidRDefault="00CC1B05" w:rsidP="00CC1B05">
      <w:pPr>
        <w:spacing w:after="0" w:line="240" w:lineRule="auto"/>
        <w:ind w:firstLine="720"/>
        <w:jc w:val="both"/>
        <w:rPr>
          <w:rFonts w:ascii="Calibri" w:eastAsia="Times New Roman" w:hAnsi="Calibri" w:cs="Calibri"/>
        </w:rPr>
      </w:pPr>
    </w:p>
    <w:p w14:paraId="22213A2D" w14:textId="77777777" w:rsidR="00040FEB" w:rsidRDefault="00040FEB"/>
    <w:sectPr w:rsidR="00040FEB" w:rsidSect="00BB3118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161D1C" w14:textId="77777777" w:rsidR="007E0710" w:rsidRDefault="007E0710" w:rsidP="00AF1E67">
      <w:pPr>
        <w:spacing w:after="0" w:line="240" w:lineRule="auto"/>
      </w:pPr>
      <w:r>
        <w:separator/>
      </w:r>
    </w:p>
  </w:endnote>
  <w:endnote w:type="continuationSeparator" w:id="0">
    <w:p w14:paraId="2D0F0552" w14:textId="77777777" w:rsidR="007E0710" w:rsidRDefault="007E0710" w:rsidP="00AF1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04D93E" w14:textId="77777777" w:rsidR="007E0710" w:rsidRDefault="007E0710" w:rsidP="00AF1E67">
      <w:pPr>
        <w:spacing w:after="0" w:line="240" w:lineRule="auto"/>
      </w:pPr>
      <w:r>
        <w:separator/>
      </w:r>
    </w:p>
  </w:footnote>
  <w:footnote w:type="continuationSeparator" w:id="0">
    <w:p w14:paraId="69704E40" w14:textId="77777777" w:rsidR="007E0710" w:rsidRDefault="007E0710" w:rsidP="00AF1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6DC847" w14:textId="59958D62" w:rsidR="00AF1E67" w:rsidRPr="00AF1E67" w:rsidRDefault="00AF1E67" w:rsidP="00AF1E67">
    <w:pPr>
      <w:pStyle w:val="En-tte"/>
    </w:pPr>
    <w:r w:rsidRPr="00CC1B05">
      <w:rPr>
        <w:rFonts w:ascii="Calibri" w:eastAsia="Times New Roman" w:hAnsi="Calibri" w:cs="Calibri"/>
        <w:b/>
        <w:noProof/>
        <w:sz w:val="20"/>
        <w:szCs w:val="20"/>
        <w:lang w:val="en-US"/>
      </w:rPr>
      <w:drawing>
        <wp:anchor distT="0" distB="0" distL="114300" distR="114300" simplePos="0" relativeHeight="251658240" behindDoc="0" locked="0" layoutInCell="1" allowOverlap="1" wp14:anchorId="595DCB35" wp14:editId="6ADF0763">
          <wp:simplePos x="0" y="0"/>
          <wp:positionH relativeFrom="column">
            <wp:posOffset>5867400</wp:posOffset>
          </wp:positionH>
          <wp:positionV relativeFrom="paragraph">
            <wp:posOffset>-137910</wp:posOffset>
          </wp:positionV>
          <wp:extent cx="447675" cy="914400"/>
          <wp:effectExtent l="0" t="0" r="9525" b="0"/>
          <wp:wrapNone/>
          <wp:docPr id="1" name="Picture 12" descr="Description: undp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undplogo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B05"/>
    <w:rsid w:val="00040FEB"/>
    <w:rsid w:val="0064796C"/>
    <w:rsid w:val="007E0710"/>
    <w:rsid w:val="008F57B2"/>
    <w:rsid w:val="0096191C"/>
    <w:rsid w:val="00AF1E67"/>
    <w:rsid w:val="00B028D8"/>
    <w:rsid w:val="00BB3118"/>
    <w:rsid w:val="00CC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EAE4A"/>
  <w15:chartTrackingRefBased/>
  <w15:docId w15:val="{0C522801-07F6-4F88-A756-CC171AAB3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028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C1B0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C1B05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uiPriority w:val="9"/>
    <w:rsid w:val="00B028D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En-tte">
    <w:name w:val="header"/>
    <w:basedOn w:val="Normal"/>
    <w:link w:val="En-tteCar"/>
    <w:uiPriority w:val="99"/>
    <w:unhideWhenUsed/>
    <w:rsid w:val="00AF1E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F1E67"/>
  </w:style>
  <w:style w:type="paragraph" w:styleId="Pieddepage">
    <w:name w:val="footer"/>
    <w:basedOn w:val="Normal"/>
    <w:link w:val="PieddepageCar"/>
    <w:uiPriority w:val="99"/>
    <w:unhideWhenUsed/>
    <w:rsid w:val="00AF1E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F1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ffres.mg@undp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76E22E782734ACEBA5875CD5D32D60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401388-E42D-4A62-AE27-086E22835445}"/>
      </w:docPartPr>
      <w:docPartBody>
        <w:p w:rsidR="00000000" w:rsidRDefault="00AF5458" w:rsidP="00AF5458">
          <w:pPr>
            <w:pStyle w:val="076E22E782734ACEBA5875CD5D32D608"/>
          </w:pPr>
          <w:r w:rsidRPr="0048490F">
            <w:rPr>
              <w:rStyle w:val="Textedelespacerserv"/>
              <w:lang w:val="fr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458"/>
    <w:rsid w:val="004B5C59"/>
    <w:rsid w:val="00AF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rsid w:val="00AF5458"/>
    <w:rPr>
      <w:color w:val="808080"/>
    </w:rPr>
  </w:style>
  <w:style w:type="paragraph" w:customStyle="1" w:styleId="076E22E782734ACEBA5875CD5D32D608">
    <w:name w:val="076E22E782734ACEBA5875CD5D32D608"/>
    <w:rsid w:val="00AF54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1</Pages>
  <Words>272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Lalaina Nirina</dc:creator>
  <cp:keywords/>
  <dc:description/>
  <cp:lastModifiedBy>UNDP Procurment Madagascar</cp:lastModifiedBy>
  <cp:revision>4</cp:revision>
  <dcterms:created xsi:type="dcterms:W3CDTF">2021-10-17T14:47:00Z</dcterms:created>
  <dcterms:modified xsi:type="dcterms:W3CDTF">2021-12-13T14:29:00Z</dcterms:modified>
</cp:coreProperties>
</file>