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55DB0" w14:textId="77777777" w:rsidR="00C8156F" w:rsidRDefault="00BD1DE0">
      <w:pPr>
        <w:spacing w:line="240" w:lineRule="auto"/>
        <w:jc w:val="center"/>
        <w:rPr>
          <w:b/>
          <w:smallCaps/>
        </w:rPr>
      </w:pPr>
      <w:r>
        <w:rPr>
          <w:b/>
          <w:smallCaps/>
        </w:rPr>
        <w:t>SECTION III</w:t>
      </w:r>
    </w:p>
    <w:p w14:paraId="3CE8100A" w14:textId="77777777" w:rsidR="00C8156F" w:rsidRDefault="00C8156F">
      <w:pPr>
        <w:spacing w:line="240" w:lineRule="auto"/>
        <w:jc w:val="center"/>
        <w:rPr>
          <w:b/>
          <w:smallCaps/>
        </w:rPr>
      </w:pPr>
    </w:p>
    <w:p w14:paraId="2DBC2713" w14:textId="77777777" w:rsidR="00C8156F" w:rsidRDefault="00BD1DE0">
      <w:pPr>
        <w:spacing w:line="240" w:lineRule="auto"/>
        <w:jc w:val="center"/>
        <w:rPr>
          <w:b/>
          <w:smallCaps/>
          <w:u w:val="single"/>
        </w:rPr>
      </w:pPr>
      <w:r>
        <w:rPr>
          <w:b/>
          <w:smallCaps/>
          <w:u w:val="single"/>
        </w:rPr>
        <w:t>MÉTHODE ET CRITÈRES D’ÉVALUATION</w:t>
      </w:r>
    </w:p>
    <w:p w14:paraId="2633DCC5" w14:textId="77777777" w:rsidR="00C8156F" w:rsidRDefault="00C8156F">
      <w:pPr>
        <w:spacing w:line="240" w:lineRule="auto"/>
        <w:rPr>
          <w:b/>
        </w:rPr>
      </w:pPr>
    </w:p>
    <w:p w14:paraId="2EA93561" w14:textId="77777777" w:rsidR="00C8156F" w:rsidRDefault="00BD1DE0">
      <w:pPr>
        <w:pStyle w:val="Heading3"/>
        <w:keepLines w:val="0"/>
        <w:numPr>
          <w:ilvl w:val="0"/>
          <w:numId w:val="2"/>
        </w:numPr>
        <w:pBdr>
          <w:bottom w:val="single" w:sz="6" w:space="1" w:color="000000"/>
        </w:pBdr>
        <w:spacing w:before="0" w:after="0" w:line="240" w:lineRule="auto"/>
        <w:ind w:left="720"/>
        <w:jc w:val="both"/>
        <w:rPr>
          <w:smallCaps/>
        </w:rPr>
      </w:pPr>
      <w:r>
        <w:rPr>
          <w:b/>
          <w:smallCaps/>
          <w:color w:val="000000"/>
          <w:sz w:val="22"/>
          <w:szCs w:val="22"/>
        </w:rPr>
        <w:t>MÉTHODE D’ÉVALUATION</w:t>
      </w:r>
    </w:p>
    <w:p w14:paraId="2C718C7A" w14:textId="77777777" w:rsidR="00C8156F" w:rsidRDefault="00C8156F">
      <w:pPr>
        <w:spacing w:line="240" w:lineRule="auto"/>
        <w:jc w:val="both"/>
      </w:pPr>
    </w:p>
    <w:p w14:paraId="1B26EDAD" w14:textId="77777777" w:rsidR="00C8156F" w:rsidRDefault="00BD1DE0">
      <w:pPr>
        <w:spacing w:line="240" w:lineRule="auto"/>
        <w:jc w:val="both"/>
      </w:pPr>
      <w:r>
        <w:t>Les propositions doivent être évaluées une première fois pour vérifier leur conformité à la demande de propositions. Les propositions qui passent l’évaluation préliminaire seront ensuite soumises à une procédure d’évaluation en deux étapes. L’évaluation de</w:t>
      </w:r>
      <w:r>
        <w:t>s propositions techniques sera menée avant l’ouverture et la comparaison des propositions financières.</w:t>
      </w:r>
    </w:p>
    <w:p w14:paraId="3F78D905" w14:textId="77777777" w:rsidR="00C8156F" w:rsidRDefault="00C8156F">
      <w:pPr>
        <w:spacing w:line="240" w:lineRule="auto"/>
        <w:jc w:val="both"/>
      </w:pPr>
    </w:p>
    <w:p w14:paraId="1A2A601F" w14:textId="77777777" w:rsidR="00C8156F" w:rsidRDefault="00BD1DE0">
      <w:pPr>
        <w:spacing w:before="100" w:line="240" w:lineRule="auto"/>
      </w:pPr>
      <w:r>
        <w:t>À l’ouverture des plis, l’UNOPS procédera d’abord à un examen préliminaire de la proposition. Lors de cette phase, l’UNOPS peut décider de rejeter toute</w:t>
      </w:r>
      <w:r>
        <w:t xml:space="preserve"> proposition qui n’est pas conforme aux exigences formelles de cette demande de propositions, sans consulter le soumissionnaire.</w:t>
      </w:r>
    </w:p>
    <w:p w14:paraId="66B64DCA" w14:textId="77777777" w:rsidR="00C8156F" w:rsidRDefault="00C8156F">
      <w:pPr>
        <w:pStyle w:val="Heading3"/>
        <w:keepLines w:val="0"/>
        <w:spacing w:before="0" w:after="0" w:line="240" w:lineRule="auto"/>
        <w:ind w:left="720"/>
        <w:jc w:val="both"/>
        <w:rPr>
          <w:b/>
          <w:smallCaps/>
          <w:color w:val="000000"/>
          <w:sz w:val="22"/>
          <w:szCs w:val="22"/>
        </w:rPr>
      </w:pPr>
    </w:p>
    <w:p w14:paraId="7AD337FD" w14:textId="77777777" w:rsidR="00C8156F" w:rsidRDefault="00BD1DE0">
      <w:pPr>
        <w:spacing w:line="240" w:lineRule="auto"/>
        <w:jc w:val="both"/>
      </w:pPr>
      <w:r>
        <w:t xml:space="preserve">Ensuite, la conformité technique des propositions ayant passé l’évaluation préliminaire sera évaluée en fonction des critères </w:t>
      </w:r>
      <w:r>
        <w:t>suivants :</w:t>
      </w:r>
    </w:p>
    <w:p w14:paraId="1417DD8C" w14:textId="77777777" w:rsidR="00C8156F" w:rsidRDefault="00C8156F">
      <w:pPr>
        <w:spacing w:line="240" w:lineRule="auto"/>
        <w:jc w:val="both"/>
      </w:pPr>
    </w:p>
    <w:p w14:paraId="729B086A" w14:textId="77777777" w:rsidR="00C8156F" w:rsidRDefault="00BD1DE0">
      <w:pPr>
        <w:numPr>
          <w:ilvl w:val="0"/>
          <w:numId w:val="5"/>
        </w:numPr>
        <w:spacing w:line="240" w:lineRule="auto"/>
        <w:jc w:val="both"/>
      </w:pPr>
      <w:proofErr w:type="gramStart"/>
      <w:r>
        <w:t>expertise</w:t>
      </w:r>
      <w:proofErr w:type="gramEnd"/>
      <w:r>
        <w:t xml:space="preserve"> technique et expérience ;</w:t>
      </w:r>
    </w:p>
    <w:p w14:paraId="409ED26E" w14:textId="77777777" w:rsidR="00C8156F" w:rsidRDefault="00BD1DE0">
      <w:pPr>
        <w:numPr>
          <w:ilvl w:val="0"/>
          <w:numId w:val="5"/>
        </w:numPr>
        <w:spacing w:line="240" w:lineRule="auto"/>
        <w:jc w:val="both"/>
      </w:pPr>
      <w:proofErr w:type="gramStart"/>
      <w:r>
        <w:t>sécurité</w:t>
      </w:r>
      <w:proofErr w:type="gramEnd"/>
      <w:r>
        <w:t>, qualité et assurance ;</w:t>
      </w:r>
    </w:p>
    <w:p w14:paraId="27FB8C9F" w14:textId="77777777" w:rsidR="00C8156F" w:rsidRDefault="00BD1DE0">
      <w:pPr>
        <w:numPr>
          <w:ilvl w:val="0"/>
          <w:numId w:val="5"/>
        </w:numPr>
        <w:spacing w:line="240" w:lineRule="auto"/>
        <w:jc w:val="both"/>
      </w:pPr>
      <w:proofErr w:type="gramStart"/>
      <w:r>
        <w:t>capacité</w:t>
      </w:r>
      <w:proofErr w:type="gramEnd"/>
      <w:r>
        <w:t>, ressources et personnel clé.</w:t>
      </w:r>
    </w:p>
    <w:p w14:paraId="784E6E40" w14:textId="77777777" w:rsidR="00C8156F" w:rsidRDefault="00C8156F">
      <w:pPr>
        <w:spacing w:line="240" w:lineRule="auto"/>
        <w:ind w:left="720"/>
        <w:jc w:val="both"/>
      </w:pPr>
    </w:p>
    <w:p w14:paraId="73E879D1" w14:textId="77777777" w:rsidR="00C8156F" w:rsidRDefault="00BD1DE0">
      <w:pPr>
        <w:spacing w:line="240" w:lineRule="auto"/>
        <w:jc w:val="both"/>
      </w:pPr>
      <w:r>
        <w:rPr>
          <w:b/>
        </w:rPr>
        <w:t xml:space="preserve">Le score maximal pouvant être accordé à un soumissionnaire pour sa proposition technique est 100. Afin d’être techniquement conformes, </w:t>
      </w:r>
      <w:r>
        <w:rPr>
          <w:b/>
        </w:rPr>
        <w:t xml:space="preserve">les soumissionnaires doivent obtenir au moins 70 points. </w:t>
      </w:r>
    </w:p>
    <w:p w14:paraId="38964EC6" w14:textId="77777777" w:rsidR="00C8156F" w:rsidRDefault="00C8156F">
      <w:pPr>
        <w:spacing w:line="240" w:lineRule="auto"/>
        <w:jc w:val="both"/>
      </w:pPr>
    </w:p>
    <w:p w14:paraId="7958C18A" w14:textId="77777777" w:rsidR="00C8156F" w:rsidRDefault="00BD1DE0">
      <w:pPr>
        <w:spacing w:before="100" w:line="240" w:lineRule="auto"/>
      </w:pPr>
      <w:r>
        <w:t xml:space="preserve">Enfin, les propositions financières des propositions techniquement conformes seront </w:t>
      </w:r>
      <w:proofErr w:type="gramStart"/>
      <w:r>
        <w:t>évaluées</w:t>
      </w:r>
      <w:proofErr w:type="gramEnd"/>
      <w:r>
        <w:t xml:space="preserve">. </w:t>
      </w:r>
    </w:p>
    <w:p w14:paraId="5D05D380" w14:textId="77777777" w:rsidR="00C8156F" w:rsidRDefault="00BD1DE0">
      <w:pPr>
        <w:spacing w:before="100" w:line="240" w:lineRule="auto"/>
      </w:pPr>
      <w:r>
        <w:rPr>
          <w:b/>
        </w:rPr>
        <w:t>Le score maximal pouvant être accordé à un soumissionnaire pour sa proposition financière est 100</w:t>
      </w:r>
      <w:r>
        <w:t xml:space="preserve">. Le score maximal sera donné à l’offre la moins </w:t>
      </w:r>
      <w:proofErr w:type="spellStart"/>
      <w:r>
        <w:t>disante</w:t>
      </w:r>
      <w:proofErr w:type="spellEnd"/>
      <w:r>
        <w:t>. Toutes les autres offres recevront un score inversement proportionnel, selon la formule suivante :</w:t>
      </w:r>
    </w:p>
    <w:p w14:paraId="438FC5D1" w14:textId="77777777" w:rsidR="00C8156F" w:rsidRDefault="00C8156F">
      <w:pPr>
        <w:spacing w:before="100" w:line="240" w:lineRule="auto"/>
      </w:pPr>
    </w:p>
    <w:p w14:paraId="7DA4C77A" w14:textId="77777777" w:rsidR="00C8156F" w:rsidRDefault="00BD1DE0">
      <w:pPr>
        <w:spacing w:before="100" w:line="240" w:lineRule="auto"/>
        <w:jc w:val="center"/>
      </w:pPr>
      <w:r>
        <w:rPr>
          <w:b/>
        </w:rPr>
        <w:t>P</w:t>
      </w:r>
      <w:r>
        <w:rPr>
          <w:b/>
        </w:rPr>
        <w:t>oints accordés à la proposition financière de l’offre évaluée</w:t>
      </w:r>
      <w:r>
        <w:t xml:space="preserve"> =</w:t>
      </w:r>
    </w:p>
    <w:p w14:paraId="35858A62" w14:textId="77777777" w:rsidR="00C8156F" w:rsidRDefault="00C8156F">
      <w:pPr>
        <w:spacing w:before="100" w:line="240" w:lineRule="auto"/>
        <w:jc w:val="center"/>
        <w:rPr>
          <w:u w:val="single"/>
        </w:rPr>
      </w:pPr>
    </w:p>
    <w:p w14:paraId="5F1A9D34" w14:textId="77777777" w:rsidR="00C8156F" w:rsidRDefault="00BD1DE0">
      <w:pPr>
        <w:spacing w:before="100" w:line="240" w:lineRule="auto"/>
        <w:jc w:val="center"/>
        <w:rPr>
          <w:u w:val="single"/>
        </w:rPr>
      </w:pPr>
      <w:r>
        <w:rPr>
          <w:u w:val="single"/>
        </w:rPr>
        <w:t>[Score maximal pour la proposition financière] x [Prix le plus bas]</w:t>
      </w:r>
    </w:p>
    <w:p w14:paraId="1B0DB84C" w14:textId="77777777" w:rsidR="00C8156F" w:rsidRDefault="00BD1DE0">
      <w:pPr>
        <w:spacing w:before="100" w:line="240" w:lineRule="auto"/>
        <w:jc w:val="center"/>
      </w:pPr>
      <w:r>
        <w:t>[Prix de la proposition évaluée]</w:t>
      </w:r>
    </w:p>
    <w:p w14:paraId="7863FE5E" w14:textId="77777777" w:rsidR="00C8156F" w:rsidRDefault="00C8156F">
      <w:pPr>
        <w:spacing w:line="240" w:lineRule="auto"/>
        <w:jc w:val="both"/>
      </w:pPr>
    </w:p>
    <w:p w14:paraId="2F225648" w14:textId="77777777" w:rsidR="00C8156F" w:rsidRDefault="00C8156F">
      <w:pPr>
        <w:spacing w:line="240" w:lineRule="auto"/>
        <w:jc w:val="both"/>
      </w:pPr>
    </w:p>
    <w:p w14:paraId="5354E4FE" w14:textId="77777777" w:rsidR="00C8156F" w:rsidRDefault="00BD1DE0">
      <w:pPr>
        <w:spacing w:line="240" w:lineRule="auto"/>
        <w:jc w:val="both"/>
      </w:pPr>
      <w:r>
        <w:t>La sélection du soumissionnaire privilégié sera basée sur une analyse cumulative de tous</w:t>
      </w:r>
      <w:r>
        <w:t xml:space="preserve"> les coûts, risques et bénéfices pertinents de chaque proposition durant toute la durée de vie des services et dans le contexte global du projet. La proposition la moins </w:t>
      </w:r>
      <w:proofErr w:type="spellStart"/>
      <w:r>
        <w:t>disante</w:t>
      </w:r>
      <w:proofErr w:type="spellEnd"/>
      <w:r>
        <w:t xml:space="preserve"> ne sera pas nécessairement celle choisie. </w:t>
      </w:r>
    </w:p>
    <w:p w14:paraId="7AE1C022" w14:textId="77777777" w:rsidR="00C8156F" w:rsidRDefault="00BD1DE0">
      <w:pPr>
        <w:spacing w:before="100" w:line="240" w:lineRule="auto"/>
        <w:jc w:val="both"/>
      </w:pPr>
      <w:r>
        <w:rPr>
          <w:b/>
        </w:rPr>
        <w:t>Le score total des propositions tec</w:t>
      </w:r>
      <w:r>
        <w:rPr>
          <w:b/>
        </w:rPr>
        <w:t>hnique et financière sera le score final de la proposition, avec une pondération de 70 % pour la proposition technique et de 30 % pour la proposition financière. La proposition obtenant le score global le plus élevé sera désignée comme meilleure propositio</w:t>
      </w:r>
      <w:r>
        <w:rPr>
          <w:b/>
        </w:rPr>
        <w:t xml:space="preserve">n. </w:t>
      </w:r>
      <w:r>
        <w:t>Cette proposition sera considérée comme celle qui répond au mieux aux besoins de l’UNOPS en termes de rapport qualité-prix.</w:t>
      </w:r>
    </w:p>
    <w:p w14:paraId="4194CCB7" w14:textId="77777777" w:rsidR="00C8156F" w:rsidRDefault="00C8156F">
      <w:pPr>
        <w:spacing w:line="240" w:lineRule="auto"/>
      </w:pPr>
    </w:p>
    <w:p w14:paraId="047E65C5" w14:textId="77777777" w:rsidR="00C8156F" w:rsidRDefault="00BD1DE0">
      <w:pPr>
        <w:spacing w:line="240" w:lineRule="auto"/>
      </w:pPr>
      <w:r>
        <w:t>L’UNOPS peut exiger des précisions ou des informations supplémentaires de la part des soumissionnaires, par écrit et à tout mome</w:t>
      </w:r>
      <w:r>
        <w:t xml:space="preserve">nt au cours du processus de soumission. Les </w:t>
      </w:r>
      <w:r>
        <w:lastRenderedPageBreak/>
        <w:t>réponses des soumissionnaires ne doivent pas contenir de modifications du contenu de leur proposition (incluant les tarifs).</w:t>
      </w:r>
    </w:p>
    <w:p w14:paraId="0012EF84" w14:textId="77777777" w:rsidR="00C8156F" w:rsidRDefault="00C8156F">
      <w:pPr>
        <w:spacing w:line="240" w:lineRule="auto"/>
      </w:pPr>
    </w:p>
    <w:p w14:paraId="717B5039" w14:textId="77777777" w:rsidR="00C8156F" w:rsidRDefault="00BD1DE0">
      <w:pPr>
        <w:spacing w:line="240" w:lineRule="auto"/>
      </w:pPr>
      <w:r>
        <w:t>L’UNOPS peut utiliser les informations reçues pour interpréter et évaluer la propositi</w:t>
      </w:r>
      <w:r>
        <w:t>on en question, mais n’est pas obligé d’en tenir compte.</w:t>
      </w:r>
    </w:p>
    <w:p w14:paraId="22C1A088" w14:textId="77777777" w:rsidR="00C8156F" w:rsidRDefault="00C8156F">
      <w:pPr>
        <w:spacing w:line="240" w:lineRule="auto"/>
        <w:jc w:val="both"/>
      </w:pPr>
    </w:p>
    <w:p w14:paraId="79385267" w14:textId="77777777" w:rsidR="00C8156F" w:rsidRDefault="00BD1DE0">
      <w:pPr>
        <w:pStyle w:val="Heading3"/>
        <w:keepLines w:val="0"/>
        <w:numPr>
          <w:ilvl w:val="0"/>
          <w:numId w:val="7"/>
        </w:numPr>
        <w:pBdr>
          <w:bottom w:val="single" w:sz="6" w:space="1" w:color="000000"/>
        </w:pBdr>
        <w:spacing w:before="0" w:after="0" w:line="240" w:lineRule="auto"/>
        <w:jc w:val="both"/>
        <w:rPr>
          <w:b/>
          <w:smallCaps/>
          <w:sz w:val="22"/>
          <w:szCs w:val="22"/>
        </w:rPr>
      </w:pPr>
      <w:r>
        <w:rPr>
          <w:b/>
          <w:smallCaps/>
          <w:color w:val="000000"/>
          <w:sz w:val="22"/>
          <w:szCs w:val="22"/>
        </w:rPr>
        <w:t xml:space="preserve">CRITÈRES D’ÉVALUATION </w:t>
      </w:r>
    </w:p>
    <w:p w14:paraId="00BE20D3" w14:textId="77777777" w:rsidR="00C8156F" w:rsidRDefault="00C8156F">
      <w:pPr>
        <w:spacing w:line="240" w:lineRule="auto"/>
        <w:ind w:hanging="720"/>
        <w:jc w:val="both"/>
      </w:pPr>
    </w:p>
    <w:p w14:paraId="18FDE53E" w14:textId="77777777" w:rsidR="00C8156F" w:rsidRDefault="00C8156F">
      <w:pPr>
        <w:spacing w:line="240" w:lineRule="auto"/>
        <w:jc w:val="both"/>
        <w:rPr>
          <w:b/>
          <w:i/>
          <w:highlight w:val="lightGray"/>
          <w:u w:val="single"/>
        </w:rPr>
      </w:pPr>
    </w:p>
    <w:p w14:paraId="5F5043E7" w14:textId="77777777" w:rsidR="00C8156F" w:rsidRDefault="00BD1DE0">
      <w:pPr>
        <w:numPr>
          <w:ilvl w:val="1"/>
          <w:numId w:val="7"/>
        </w:numPr>
        <w:spacing w:line="240" w:lineRule="auto"/>
        <w:jc w:val="both"/>
      </w:pPr>
      <w:r>
        <w:rPr>
          <w:b/>
          <w:u w:val="single"/>
        </w:rPr>
        <w:t>Critères pour l’évaluation préliminaire</w:t>
      </w:r>
    </w:p>
    <w:p w14:paraId="2549EC18" w14:textId="77777777" w:rsidR="00C8156F" w:rsidRDefault="00C8156F">
      <w:pPr>
        <w:spacing w:before="100" w:line="240" w:lineRule="auto"/>
        <w:rPr>
          <w:b/>
          <w:u w:val="single"/>
        </w:rPr>
      </w:pPr>
    </w:p>
    <w:p w14:paraId="1FF3178F" w14:textId="77777777" w:rsidR="00C8156F" w:rsidRDefault="00BD1DE0">
      <w:pPr>
        <w:spacing w:line="240" w:lineRule="auto"/>
        <w:ind w:left="270"/>
        <w:jc w:val="both"/>
      </w:pPr>
      <w:r>
        <w:t>À l’ouverture des plis, l’UNOPS procédera d’abord à un examen préliminaire des propositions. Lors de cette phase, l’UNOPS peut décider de rejeter toute proposition qui n’est pas conforme aux exigences formelles de cette demande de propositions, sans consul</w:t>
      </w:r>
      <w:r>
        <w:t>ter le soumissionnaire.</w:t>
      </w:r>
    </w:p>
    <w:p w14:paraId="4BDB7D53" w14:textId="77777777" w:rsidR="00C8156F" w:rsidRDefault="00C8156F">
      <w:pPr>
        <w:spacing w:line="240" w:lineRule="auto"/>
        <w:ind w:left="270"/>
        <w:jc w:val="both"/>
      </w:pPr>
    </w:p>
    <w:p w14:paraId="3E63B1B8" w14:textId="77777777" w:rsidR="00C8156F" w:rsidRDefault="00BD1DE0">
      <w:pPr>
        <w:spacing w:line="240" w:lineRule="auto"/>
        <w:ind w:left="270"/>
        <w:jc w:val="both"/>
      </w:pPr>
      <w:r>
        <w:t>Les propositions incomplètes, frivoles, clairement non concurrentielles ou contenant des déviances ou réserves</w:t>
      </w:r>
      <w:r>
        <w:t xml:space="preserve"> aux conditions du Contrat pourront, à l’entière discrétion de l’UNOPS, être rejetées ou exclues, et ce à tout moment du processus d’évaluation, y compris après l’examen préliminaire. Les soumissionnaires n’ont pas le droit de corriger ou retirer les dévia</w:t>
      </w:r>
      <w:r>
        <w:t xml:space="preserve">nces ou réserves de leur proposition après la date limite de soumission des propositions. </w:t>
      </w:r>
    </w:p>
    <w:p w14:paraId="11A5AE26" w14:textId="77777777" w:rsidR="00C8156F" w:rsidRDefault="00C8156F">
      <w:pPr>
        <w:spacing w:line="240" w:lineRule="auto"/>
        <w:ind w:left="270"/>
      </w:pPr>
    </w:p>
    <w:p w14:paraId="1C16942A" w14:textId="77777777" w:rsidR="00C8156F" w:rsidRDefault="00BD1DE0">
      <w:pPr>
        <w:spacing w:line="240" w:lineRule="auto"/>
        <w:ind w:left="270"/>
        <w:rPr>
          <w:b/>
        </w:rPr>
      </w:pPr>
      <w:r>
        <w:rPr>
          <w:b/>
        </w:rPr>
        <w:t>Au cours de l’examen préliminaire, les informations suivantes seront évaluées pour chaque annexe à la proposition à retourner.</w:t>
      </w:r>
    </w:p>
    <w:p w14:paraId="293ED71E" w14:textId="77777777" w:rsidR="00C8156F" w:rsidRDefault="00C8156F">
      <w:pPr>
        <w:spacing w:line="240" w:lineRule="auto"/>
        <w:ind w:left="270"/>
        <w:rPr>
          <w:b/>
        </w:rPr>
      </w:pPr>
    </w:p>
    <w:p w14:paraId="6ACF54CA" w14:textId="77777777" w:rsidR="00C8156F" w:rsidRDefault="00BD1DE0">
      <w:pPr>
        <w:spacing w:line="240" w:lineRule="auto"/>
        <w:ind w:left="270"/>
      </w:pPr>
      <w:r>
        <w:rPr>
          <w:b/>
        </w:rPr>
        <w:t>Les propositions non conformes à l’u</w:t>
      </w:r>
      <w:r>
        <w:rPr>
          <w:b/>
        </w:rPr>
        <w:t>n des critères de type « Oui/Non » énoncés ci-dessous seront disqualifiées et ne feront l’objet d’aucune évaluation supplémentaire.</w:t>
      </w:r>
    </w:p>
    <w:p w14:paraId="2EF4C0BF" w14:textId="77777777" w:rsidR="00C8156F" w:rsidRDefault="00C8156F">
      <w:pPr>
        <w:spacing w:line="240" w:lineRule="auto"/>
        <w:ind w:left="270"/>
        <w:jc w:val="both"/>
        <w:rPr>
          <w:b/>
          <w:i/>
          <w:highlight w:val="lightGray"/>
        </w:rPr>
      </w:pPr>
    </w:p>
    <w:p w14:paraId="7E93207F" w14:textId="77777777" w:rsidR="00C8156F" w:rsidRDefault="00BD1DE0">
      <w:pPr>
        <w:spacing w:line="240" w:lineRule="auto"/>
        <w:ind w:left="270"/>
      </w:pPr>
      <w:r>
        <w:t>Pour les critères de type « vérifier et préciser », l’information faisant l’objet de ce critère pourra être corrigée par le</w:t>
      </w:r>
      <w:r>
        <w:t>s soumissionnaires à la demande de l’UNOPS.</w:t>
      </w:r>
    </w:p>
    <w:p w14:paraId="6D52A26B" w14:textId="77777777" w:rsidR="00C8156F" w:rsidRDefault="00C8156F">
      <w:pPr>
        <w:spacing w:line="240" w:lineRule="auto"/>
        <w:ind w:left="270"/>
        <w:jc w:val="both"/>
        <w:rPr>
          <w:b/>
          <w:i/>
          <w:highlight w:val="lightGray"/>
        </w:rPr>
      </w:pPr>
    </w:p>
    <w:tbl>
      <w:tblPr>
        <w:tblStyle w:val="a"/>
        <w:tblW w:w="9210" w:type="dxa"/>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195"/>
        <w:gridCol w:w="3945"/>
        <w:gridCol w:w="2070"/>
      </w:tblGrid>
      <w:tr w:rsidR="00C8156F" w14:paraId="74671BE1" w14:textId="77777777">
        <w:tc>
          <w:tcPr>
            <w:tcW w:w="3195" w:type="dxa"/>
            <w:shd w:val="clear" w:color="auto" w:fill="auto"/>
            <w:tcMar>
              <w:top w:w="100" w:type="dxa"/>
              <w:left w:w="100" w:type="dxa"/>
              <w:bottom w:w="100" w:type="dxa"/>
              <w:right w:w="100" w:type="dxa"/>
            </w:tcMar>
          </w:tcPr>
          <w:p w14:paraId="162DCD7F" w14:textId="77777777" w:rsidR="00C8156F" w:rsidRDefault="00BD1DE0">
            <w:pPr>
              <w:widowControl w:val="0"/>
              <w:pBdr>
                <w:top w:val="nil"/>
                <w:left w:val="nil"/>
                <w:bottom w:val="nil"/>
                <w:right w:val="nil"/>
                <w:between w:val="nil"/>
              </w:pBdr>
              <w:spacing w:line="240" w:lineRule="auto"/>
              <w:rPr>
                <w:b/>
              </w:rPr>
            </w:pPr>
            <w:r>
              <w:rPr>
                <w:b/>
              </w:rPr>
              <w:t xml:space="preserve">Référence </w:t>
            </w:r>
          </w:p>
        </w:tc>
        <w:tc>
          <w:tcPr>
            <w:tcW w:w="3945" w:type="dxa"/>
            <w:shd w:val="clear" w:color="auto" w:fill="auto"/>
            <w:tcMar>
              <w:top w:w="100" w:type="dxa"/>
              <w:left w:w="100" w:type="dxa"/>
              <w:bottom w:w="100" w:type="dxa"/>
              <w:right w:w="100" w:type="dxa"/>
            </w:tcMar>
          </w:tcPr>
          <w:p w14:paraId="763146E4" w14:textId="77777777" w:rsidR="00C8156F" w:rsidRDefault="00BD1DE0">
            <w:pPr>
              <w:widowControl w:val="0"/>
              <w:spacing w:line="240" w:lineRule="auto"/>
              <w:rPr>
                <w:b/>
              </w:rPr>
            </w:pPr>
            <w:r>
              <w:rPr>
                <w:b/>
              </w:rPr>
              <w:t xml:space="preserve">Exigence </w:t>
            </w:r>
          </w:p>
          <w:p w14:paraId="5B799D26" w14:textId="77777777" w:rsidR="00C8156F" w:rsidRDefault="00C8156F">
            <w:pPr>
              <w:widowControl w:val="0"/>
              <w:pBdr>
                <w:top w:val="nil"/>
                <w:left w:val="nil"/>
                <w:bottom w:val="nil"/>
                <w:right w:val="nil"/>
                <w:between w:val="nil"/>
              </w:pBdr>
              <w:spacing w:line="240" w:lineRule="auto"/>
              <w:rPr>
                <w:b/>
              </w:rPr>
            </w:pPr>
          </w:p>
        </w:tc>
        <w:tc>
          <w:tcPr>
            <w:tcW w:w="2070" w:type="dxa"/>
            <w:shd w:val="clear" w:color="auto" w:fill="auto"/>
            <w:tcMar>
              <w:top w:w="100" w:type="dxa"/>
              <w:left w:w="100" w:type="dxa"/>
              <w:bottom w:w="100" w:type="dxa"/>
              <w:right w:w="100" w:type="dxa"/>
            </w:tcMar>
          </w:tcPr>
          <w:p w14:paraId="638EB29D" w14:textId="77777777" w:rsidR="00C8156F" w:rsidRDefault="00BD1DE0">
            <w:pPr>
              <w:widowControl w:val="0"/>
              <w:spacing w:line="240" w:lineRule="auto"/>
              <w:rPr>
                <w:b/>
              </w:rPr>
            </w:pPr>
            <w:r>
              <w:rPr>
                <w:b/>
              </w:rPr>
              <w:t>Critère</w:t>
            </w:r>
          </w:p>
        </w:tc>
      </w:tr>
      <w:tr w:rsidR="00C8156F" w14:paraId="13535C02" w14:textId="77777777">
        <w:trPr>
          <w:trHeight w:val="420"/>
        </w:trPr>
        <w:tc>
          <w:tcPr>
            <w:tcW w:w="9210" w:type="dxa"/>
            <w:gridSpan w:val="3"/>
            <w:shd w:val="clear" w:color="auto" w:fill="auto"/>
            <w:tcMar>
              <w:top w:w="100" w:type="dxa"/>
              <w:left w:w="100" w:type="dxa"/>
              <w:bottom w:w="100" w:type="dxa"/>
              <w:right w:w="100" w:type="dxa"/>
            </w:tcMar>
          </w:tcPr>
          <w:p w14:paraId="32A587B1" w14:textId="77777777" w:rsidR="00C8156F" w:rsidRDefault="00BD1DE0">
            <w:pPr>
              <w:widowControl w:val="0"/>
              <w:spacing w:line="240" w:lineRule="auto"/>
            </w:pPr>
            <w:r>
              <w:rPr>
                <w:b/>
              </w:rPr>
              <w:t>33.1.1. CRITÈRES FORMELS ET D'ADMISSIBILITÉ</w:t>
            </w:r>
          </w:p>
        </w:tc>
      </w:tr>
      <w:tr w:rsidR="00C8156F" w14:paraId="1323326D" w14:textId="77777777">
        <w:tc>
          <w:tcPr>
            <w:tcW w:w="3195" w:type="dxa"/>
            <w:shd w:val="clear" w:color="auto" w:fill="auto"/>
            <w:tcMar>
              <w:top w:w="100" w:type="dxa"/>
              <w:left w:w="100" w:type="dxa"/>
              <w:bottom w:w="100" w:type="dxa"/>
              <w:right w:w="100" w:type="dxa"/>
            </w:tcMar>
          </w:tcPr>
          <w:p w14:paraId="7FFD6FDF" w14:textId="77777777" w:rsidR="00C8156F" w:rsidRDefault="00BD1DE0">
            <w:pPr>
              <w:widowControl w:val="0"/>
              <w:pBdr>
                <w:top w:val="nil"/>
                <w:left w:val="nil"/>
                <w:bottom w:val="nil"/>
                <w:right w:val="nil"/>
                <w:between w:val="nil"/>
              </w:pBdr>
              <w:spacing w:line="240" w:lineRule="auto"/>
            </w:pPr>
            <w:r>
              <w:t>Annexe 2 à renvoyer avec l’offre</w:t>
            </w:r>
          </w:p>
        </w:tc>
        <w:tc>
          <w:tcPr>
            <w:tcW w:w="3945" w:type="dxa"/>
            <w:shd w:val="clear" w:color="auto" w:fill="auto"/>
            <w:tcMar>
              <w:top w:w="100" w:type="dxa"/>
              <w:left w:w="100" w:type="dxa"/>
              <w:bottom w:w="100" w:type="dxa"/>
              <w:right w:w="100" w:type="dxa"/>
            </w:tcMar>
          </w:tcPr>
          <w:p w14:paraId="38B9B23A" w14:textId="77777777" w:rsidR="00C8156F" w:rsidRDefault="00BD1DE0">
            <w:pPr>
              <w:widowControl w:val="0"/>
              <w:pBdr>
                <w:top w:val="nil"/>
                <w:left w:val="nil"/>
                <w:bottom w:val="nil"/>
                <w:right w:val="nil"/>
                <w:between w:val="nil"/>
              </w:pBdr>
              <w:spacing w:line="240" w:lineRule="auto"/>
            </w:pPr>
            <w:r>
              <w:t xml:space="preserve">Le formulaire de proposition du soumissionnaire est correctement rempli et signé  </w:t>
            </w:r>
          </w:p>
        </w:tc>
        <w:tc>
          <w:tcPr>
            <w:tcW w:w="2070" w:type="dxa"/>
            <w:shd w:val="clear" w:color="auto" w:fill="auto"/>
            <w:tcMar>
              <w:top w:w="100" w:type="dxa"/>
              <w:left w:w="100" w:type="dxa"/>
              <w:bottom w:w="100" w:type="dxa"/>
              <w:right w:w="100" w:type="dxa"/>
            </w:tcMar>
          </w:tcPr>
          <w:p w14:paraId="46F72A6B" w14:textId="77777777" w:rsidR="00C8156F" w:rsidRDefault="00BD1DE0">
            <w:pPr>
              <w:widowControl w:val="0"/>
              <w:pBdr>
                <w:top w:val="nil"/>
                <w:left w:val="nil"/>
                <w:bottom w:val="nil"/>
                <w:right w:val="nil"/>
                <w:between w:val="nil"/>
              </w:pBdr>
              <w:spacing w:line="240" w:lineRule="auto"/>
            </w:pPr>
            <w:r>
              <w:t>Vérifié/Clarifié</w:t>
            </w:r>
          </w:p>
        </w:tc>
      </w:tr>
      <w:tr w:rsidR="00C8156F" w14:paraId="228475D0" w14:textId="77777777">
        <w:tc>
          <w:tcPr>
            <w:tcW w:w="3195" w:type="dxa"/>
            <w:shd w:val="clear" w:color="auto" w:fill="auto"/>
            <w:tcMar>
              <w:top w:w="100" w:type="dxa"/>
              <w:left w:w="100" w:type="dxa"/>
              <w:bottom w:w="100" w:type="dxa"/>
              <w:right w:w="100" w:type="dxa"/>
            </w:tcMar>
          </w:tcPr>
          <w:p w14:paraId="4852341F" w14:textId="77777777" w:rsidR="00C8156F" w:rsidRDefault="00BD1DE0">
            <w:pPr>
              <w:widowControl w:val="0"/>
              <w:spacing w:line="240" w:lineRule="auto"/>
            </w:pPr>
            <w:r>
              <w:t>Annexe 3 à renvoyer avec l’offre</w:t>
            </w:r>
          </w:p>
        </w:tc>
        <w:tc>
          <w:tcPr>
            <w:tcW w:w="3945" w:type="dxa"/>
            <w:shd w:val="clear" w:color="auto" w:fill="auto"/>
            <w:tcMar>
              <w:top w:w="100" w:type="dxa"/>
              <w:left w:w="100" w:type="dxa"/>
              <w:bottom w:w="100" w:type="dxa"/>
              <w:right w:w="100" w:type="dxa"/>
            </w:tcMar>
          </w:tcPr>
          <w:p w14:paraId="14A66FC4" w14:textId="77777777" w:rsidR="00C8156F" w:rsidRDefault="00BD1DE0">
            <w:pPr>
              <w:spacing w:line="240" w:lineRule="auto"/>
            </w:pPr>
            <w:r>
              <w:t xml:space="preserve">La déclaration de garantie est </w:t>
            </w:r>
            <w:proofErr w:type="gramStart"/>
            <w:r>
              <w:t>correctement rempli et signé</w:t>
            </w:r>
            <w:proofErr w:type="gramEnd"/>
          </w:p>
        </w:tc>
        <w:tc>
          <w:tcPr>
            <w:tcW w:w="2070" w:type="dxa"/>
            <w:shd w:val="clear" w:color="auto" w:fill="auto"/>
            <w:tcMar>
              <w:top w:w="100" w:type="dxa"/>
              <w:left w:w="100" w:type="dxa"/>
              <w:bottom w:w="100" w:type="dxa"/>
              <w:right w:w="100" w:type="dxa"/>
            </w:tcMar>
          </w:tcPr>
          <w:p w14:paraId="501A7843" w14:textId="77777777" w:rsidR="00C8156F" w:rsidRDefault="00BD1DE0">
            <w:pPr>
              <w:widowControl w:val="0"/>
              <w:spacing w:line="240" w:lineRule="auto"/>
            </w:pPr>
            <w:r>
              <w:t>Vérifié/Clarifié</w:t>
            </w:r>
          </w:p>
        </w:tc>
      </w:tr>
      <w:tr w:rsidR="00C8156F" w14:paraId="55CCAFE3" w14:textId="77777777">
        <w:tc>
          <w:tcPr>
            <w:tcW w:w="3195" w:type="dxa"/>
            <w:shd w:val="clear" w:color="auto" w:fill="auto"/>
            <w:tcMar>
              <w:top w:w="100" w:type="dxa"/>
              <w:left w:w="100" w:type="dxa"/>
              <w:bottom w:w="100" w:type="dxa"/>
              <w:right w:w="100" w:type="dxa"/>
            </w:tcMar>
          </w:tcPr>
          <w:p w14:paraId="4EA86D60" w14:textId="77777777" w:rsidR="00C8156F" w:rsidRDefault="00BD1DE0">
            <w:pPr>
              <w:widowControl w:val="0"/>
              <w:spacing w:line="240" w:lineRule="auto"/>
            </w:pPr>
            <w:r>
              <w:t>Annexe 4 à renvoyer avec l’offre</w:t>
            </w:r>
          </w:p>
        </w:tc>
        <w:tc>
          <w:tcPr>
            <w:tcW w:w="3945" w:type="dxa"/>
            <w:shd w:val="clear" w:color="auto" w:fill="auto"/>
            <w:tcMar>
              <w:top w:w="100" w:type="dxa"/>
              <w:left w:w="100" w:type="dxa"/>
              <w:bottom w:w="100" w:type="dxa"/>
              <w:right w:w="100" w:type="dxa"/>
            </w:tcMar>
          </w:tcPr>
          <w:p w14:paraId="2E78DA49" w14:textId="77777777" w:rsidR="00C8156F" w:rsidRDefault="00BD1DE0">
            <w:pPr>
              <w:spacing w:line="240" w:lineRule="auto"/>
            </w:pPr>
            <w:r>
              <w:t>Les informations sur le soumissionnaire sont correctement remplies</w:t>
            </w:r>
          </w:p>
        </w:tc>
        <w:tc>
          <w:tcPr>
            <w:tcW w:w="2070" w:type="dxa"/>
            <w:shd w:val="clear" w:color="auto" w:fill="auto"/>
            <w:tcMar>
              <w:top w:w="100" w:type="dxa"/>
              <w:left w:w="100" w:type="dxa"/>
              <w:bottom w:w="100" w:type="dxa"/>
              <w:right w:w="100" w:type="dxa"/>
            </w:tcMar>
          </w:tcPr>
          <w:p w14:paraId="6D5AF743" w14:textId="77777777" w:rsidR="00C8156F" w:rsidRDefault="00BD1DE0">
            <w:pPr>
              <w:widowControl w:val="0"/>
              <w:spacing w:line="240" w:lineRule="auto"/>
            </w:pPr>
            <w:r>
              <w:t>Vérifié/Clarifié</w:t>
            </w:r>
          </w:p>
        </w:tc>
      </w:tr>
      <w:tr w:rsidR="00C8156F" w14:paraId="0E4DF16A" w14:textId="77777777">
        <w:tc>
          <w:tcPr>
            <w:tcW w:w="3195" w:type="dxa"/>
            <w:shd w:val="clear" w:color="auto" w:fill="auto"/>
            <w:tcMar>
              <w:top w:w="100" w:type="dxa"/>
              <w:left w:w="100" w:type="dxa"/>
              <w:bottom w:w="100" w:type="dxa"/>
              <w:right w:w="100" w:type="dxa"/>
            </w:tcMar>
          </w:tcPr>
          <w:p w14:paraId="28847CB2" w14:textId="77777777" w:rsidR="00C8156F" w:rsidRDefault="00BD1DE0">
            <w:pPr>
              <w:widowControl w:val="0"/>
              <w:spacing w:line="240" w:lineRule="auto"/>
            </w:pPr>
            <w:r>
              <w:t>Annexe 6 à renvoyer avec l’offre</w:t>
            </w:r>
          </w:p>
        </w:tc>
        <w:tc>
          <w:tcPr>
            <w:tcW w:w="3945" w:type="dxa"/>
            <w:shd w:val="clear" w:color="auto" w:fill="auto"/>
            <w:tcMar>
              <w:top w:w="100" w:type="dxa"/>
              <w:left w:w="100" w:type="dxa"/>
              <w:bottom w:w="100" w:type="dxa"/>
              <w:right w:w="100" w:type="dxa"/>
            </w:tcMar>
          </w:tcPr>
          <w:p w14:paraId="7DB07B59" w14:textId="77777777" w:rsidR="00C8156F" w:rsidRDefault="00BD1DE0">
            <w:pPr>
              <w:spacing w:line="240" w:lineRule="auto"/>
            </w:pPr>
            <w:r>
              <w:t>L’annexe sur les Aptitudes, expériences, services en cours et services achevés est correctement remplie</w:t>
            </w:r>
          </w:p>
          <w:p w14:paraId="7678F87E" w14:textId="77777777" w:rsidR="00C8156F" w:rsidRDefault="00C8156F">
            <w:pPr>
              <w:widowControl w:val="0"/>
              <w:pBdr>
                <w:top w:val="nil"/>
                <w:left w:val="nil"/>
                <w:bottom w:val="nil"/>
                <w:right w:val="nil"/>
                <w:between w:val="nil"/>
              </w:pBdr>
              <w:spacing w:line="240" w:lineRule="auto"/>
            </w:pPr>
          </w:p>
        </w:tc>
        <w:tc>
          <w:tcPr>
            <w:tcW w:w="2070" w:type="dxa"/>
            <w:shd w:val="clear" w:color="auto" w:fill="auto"/>
            <w:tcMar>
              <w:top w:w="100" w:type="dxa"/>
              <w:left w:w="100" w:type="dxa"/>
              <w:bottom w:w="100" w:type="dxa"/>
              <w:right w:w="100" w:type="dxa"/>
            </w:tcMar>
          </w:tcPr>
          <w:p w14:paraId="19E20106" w14:textId="77777777" w:rsidR="00C8156F" w:rsidRDefault="00BD1DE0">
            <w:pPr>
              <w:widowControl w:val="0"/>
              <w:spacing w:line="240" w:lineRule="auto"/>
            </w:pPr>
            <w:r>
              <w:lastRenderedPageBreak/>
              <w:t>Vérifié/Clarifié</w:t>
            </w:r>
          </w:p>
        </w:tc>
      </w:tr>
      <w:tr w:rsidR="00C8156F" w14:paraId="453D6206" w14:textId="77777777">
        <w:tc>
          <w:tcPr>
            <w:tcW w:w="3195" w:type="dxa"/>
            <w:shd w:val="clear" w:color="auto" w:fill="auto"/>
            <w:tcMar>
              <w:top w:w="100" w:type="dxa"/>
              <w:left w:w="100" w:type="dxa"/>
              <w:bottom w:w="100" w:type="dxa"/>
              <w:right w:w="100" w:type="dxa"/>
            </w:tcMar>
          </w:tcPr>
          <w:p w14:paraId="5F3325C1" w14:textId="77777777" w:rsidR="00C8156F" w:rsidRDefault="00BD1DE0">
            <w:pPr>
              <w:widowControl w:val="0"/>
              <w:spacing w:line="240" w:lineRule="auto"/>
            </w:pPr>
            <w:r>
              <w:t>Annexe 7 à renv</w:t>
            </w:r>
            <w:r>
              <w:t>oyer avec l’offre</w:t>
            </w:r>
          </w:p>
        </w:tc>
        <w:tc>
          <w:tcPr>
            <w:tcW w:w="3945" w:type="dxa"/>
            <w:shd w:val="clear" w:color="auto" w:fill="auto"/>
            <w:tcMar>
              <w:top w:w="100" w:type="dxa"/>
              <w:left w:w="100" w:type="dxa"/>
              <w:bottom w:w="100" w:type="dxa"/>
              <w:right w:w="100" w:type="dxa"/>
            </w:tcMar>
          </w:tcPr>
          <w:p w14:paraId="483C4A6F" w14:textId="77777777" w:rsidR="00C8156F" w:rsidRDefault="00BD1DE0">
            <w:pPr>
              <w:widowControl w:val="0"/>
              <w:pBdr>
                <w:top w:val="nil"/>
                <w:left w:val="nil"/>
                <w:bottom w:val="nil"/>
                <w:right w:val="nil"/>
                <w:between w:val="nil"/>
              </w:pBdr>
              <w:spacing w:line="240" w:lineRule="auto"/>
            </w:pPr>
            <w:r>
              <w:t>Le soumissionnaire a fourni les informations sur les assurances</w:t>
            </w:r>
          </w:p>
        </w:tc>
        <w:tc>
          <w:tcPr>
            <w:tcW w:w="2070" w:type="dxa"/>
            <w:shd w:val="clear" w:color="auto" w:fill="auto"/>
            <w:tcMar>
              <w:top w:w="100" w:type="dxa"/>
              <w:left w:w="100" w:type="dxa"/>
              <w:bottom w:w="100" w:type="dxa"/>
              <w:right w:w="100" w:type="dxa"/>
            </w:tcMar>
          </w:tcPr>
          <w:p w14:paraId="4C005EB0" w14:textId="77777777" w:rsidR="00C8156F" w:rsidRDefault="00BD1DE0">
            <w:pPr>
              <w:widowControl w:val="0"/>
              <w:spacing w:line="240" w:lineRule="auto"/>
            </w:pPr>
            <w:r>
              <w:t>Vérifié/Clarifié</w:t>
            </w:r>
          </w:p>
        </w:tc>
      </w:tr>
      <w:tr w:rsidR="00C8156F" w14:paraId="2431CE3C" w14:textId="77777777">
        <w:tc>
          <w:tcPr>
            <w:tcW w:w="3195" w:type="dxa"/>
            <w:shd w:val="clear" w:color="auto" w:fill="auto"/>
            <w:tcMar>
              <w:top w:w="100" w:type="dxa"/>
              <w:left w:w="100" w:type="dxa"/>
              <w:bottom w:w="100" w:type="dxa"/>
              <w:right w:w="100" w:type="dxa"/>
            </w:tcMar>
          </w:tcPr>
          <w:p w14:paraId="5EE66315" w14:textId="77777777" w:rsidR="00C8156F" w:rsidRDefault="00BD1DE0">
            <w:pPr>
              <w:widowControl w:val="0"/>
              <w:spacing w:line="240" w:lineRule="auto"/>
            </w:pPr>
            <w:r>
              <w:t>Annexe 8 à renvoyer avec l’offre</w:t>
            </w:r>
          </w:p>
        </w:tc>
        <w:tc>
          <w:tcPr>
            <w:tcW w:w="3945" w:type="dxa"/>
            <w:shd w:val="clear" w:color="auto" w:fill="auto"/>
            <w:tcMar>
              <w:top w:w="100" w:type="dxa"/>
              <w:left w:w="100" w:type="dxa"/>
              <w:bottom w:w="100" w:type="dxa"/>
              <w:right w:w="100" w:type="dxa"/>
            </w:tcMar>
          </w:tcPr>
          <w:p w14:paraId="477413D7" w14:textId="77777777" w:rsidR="00C8156F" w:rsidRDefault="00BD1DE0">
            <w:pPr>
              <w:spacing w:line="240" w:lineRule="auto"/>
            </w:pPr>
            <w:r>
              <w:t>L’annexe sur le personnel Clé est correctement remplie</w:t>
            </w:r>
          </w:p>
        </w:tc>
        <w:tc>
          <w:tcPr>
            <w:tcW w:w="2070" w:type="dxa"/>
            <w:shd w:val="clear" w:color="auto" w:fill="auto"/>
            <w:tcMar>
              <w:top w:w="100" w:type="dxa"/>
              <w:left w:w="100" w:type="dxa"/>
              <w:bottom w:w="100" w:type="dxa"/>
              <w:right w:w="100" w:type="dxa"/>
            </w:tcMar>
          </w:tcPr>
          <w:p w14:paraId="4B29F892" w14:textId="77777777" w:rsidR="00C8156F" w:rsidRDefault="00BD1DE0">
            <w:pPr>
              <w:widowControl w:val="0"/>
              <w:spacing w:line="240" w:lineRule="auto"/>
            </w:pPr>
            <w:r>
              <w:t>Vérifié/Clarifié</w:t>
            </w:r>
          </w:p>
        </w:tc>
      </w:tr>
      <w:tr w:rsidR="00C8156F" w14:paraId="6383371B" w14:textId="77777777">
        <w:tc>
          <w:tcPr>
            <w:tcW w:w="3195" w:type="dxa"/>
            <w:shd w:val="clear" w:color="auto" w:fill="auto"/>
            <w:tcMar>
              <w:top w:w="100" w:type="dxa"/>
              <w:left w:w="100" w:type="dxa"/>
              <w:bottom w:w="100" w:type="dxa"/>
              <w:right w:w="100" w:type="dxa"/>
            </w:tcMar>
          </w:tcPr>
          <w:p w14:paraId="25C19B6E" w14:textId="77777777" w:rsidR="00C8156F" w:rsidRDefault="00BD1DE0">
            <w:pPr>
              <w:widowControl w:val="0"/>
              <w:spacing w:line="240" w:lineRule="auto"/>
            </w:pPr>
            <w:r>
              <w:t>Annexe 9 à renvoyer avec l’offre</w:t>
            </w:r>
          </w:p>
        </w:tc>
        <w:tc>
          <w:tcPr>
            <w:tcW w:w="3945" w:type="dxa"/>
            <w:shd w:val="clear" w:color="auto" w:fill="auto"/>
            <w:tcMar>
              <w:top w:w="100" w:type="dxa"/>
              <w:left w:w="100" w:type="dxa"/>
              <w:bottom w:w="100" w:type="dxa"/>
              <w:right w:w="100" w:type="dxa"/>
            </w:tcMar>
          </w:tcPr>
          <w:p w14:paraId="0F749751" w14:textId="77777777" w:rsidR="00C8156F" w:rsidRDefault="00BD1DE0">
            <w:pPr>
              <w:spacing w:line="240" w:lineRule="auto"/>
              <w:rPr>
                <w:b/>
                <w:smallCaps/>
                <w:u w:val="single"/>
              </w:rPr>
            </w:pPr>
            <w:r>
              <w:t xml:space="preserve">Le formulaire de Proposition relatives aux procédures de mise en </w:t>
            </w:r>
            <w:proofErr w:type="spellStart"/>
            <w:proofErr w:type="gramStart"/>
            <w:r>
              <w:t>oeuvre</w:t>
            </w:r>
            <w:proofErr w:type="spellEnd"/>
            <w:r>
              <w:t xml:space="preserve">  et</w:t>
            </w:r>
            <w:proofErr w:type="gramEnd"/>
            <w:r>
              <w:t xml:space="preserve"> de gestion de la qualité est correctement rempli</w:t>
            </w:r>
          </w:p>
          <w:p w14:paraId="06DDB56D" w14:textId="77777777" w:rsidR="00C8156F" w:rsidRDefault="00C8156F">
            <w:pPr>
              <w:spacing w:line="240" w:lineRule="auto"/>
            </w:pPr>
          </w:p>
        </w:tc>
        <w:tc>
          <w:tcPr>
            <w:tcW w:w="2070" w:type="dxa"/>
            <w:shd w:val="clear" w:color="auto" w:fill="auto"/>
            <w:tcMar>
              <w:top w:w="100" w:type="dxa"/>
              <w:left w:w="100" w:type="dxa"/>
              <w:bottom w:w="100" w:type="dxa"/>
              <w:right w:w="100" w:type="dxa"/>
            </w:tcMar>
          </w:tcPr>
          <w:p w14:paraId="0285D684" w14:textId="77777777" w:rsidR="00C8156F" w:rsidRDefault="00BD1DE0">
            <w:pPr>
              <w:widowControl w:val="0"/>
              <w:spacing w:line="240" w:lineRule="auto"/>
            </w:pPr>
            <w:r>
              <w:t>Vérifié/Clarifié</w:t>
            </w:r>
          </w:p>
        </w:tc>
      </w:tr>
      <w:tr w:rsidR="00C8156F" w14:paraId="50485B7F" w14:textId="77777777">
        <w:tc>
          <w:tcPr>
            <w:tcW w:w="3195" w:type="dxa"/>
            <w:shd w:val="clear" w:color="auto" w:fill="auto"/>
            <w:tcMar>
              <w:top w:w="100" w:type="dxa"/>
              <w:left w:w="100" w:type="dxa"/>
              <w:bottom w:w="100" w:type="dxa"/>
              <w:right w:w="100" w:type="dxa"/>
            </w:tcMar>
          </w:tcPr>
          <w:p w14:paraId="3BE5E6A5" w14:textId="77777777" w:rsidR="00C8156F" w:rsidRDefault="00BD1DE0">
            <w:pPr>
              <w:widowControl w:val="0"/>
              <w:spacing w:line="240" w:lineRule="auto"/>
            </w:pPr>
            <w:r>
              <w:t>Annexe 11 à renvoyer avec l’offre</w:t>
            </w:r>
          </w:p>
        </w:tc>
        <w:tc>
          <w:tcPr>
            <w:tcW w:w="3945" w:type="dxa"/>
            <w:shd w:val="clear" w:color="auto" w:fill="auto"/>
            <w:tcMar>
              <w:top w:w="100" w:type="dxa"/>
              <w:left w:w="100" w:type="dxa"/>
              <w:bottom w:w="100" w:type="dxa"/>
              <w:right w:w="100" w:type="dxa"/>
            </w:tcMar>
          </w:tcPr>
          <w:p w14:paraId="7DCE1EA1" w14:textId="77777777" w:rsidR="00C8156F" w:rsidRDefault="00BD1DE0">
            <w:pPr>
              <w:spacing w:line="240" w:lineRule="auto"/>
              <w:jc w:val="both"/>
            </w:pPr>
            <w:r>
              <w:t>Le soumissionnaire a rempli l’annexe sur la déclaration générale des méthodes proposées</w:t>
            </w:r>
            <w:r>
              <w:tab/>
            </w:r>
          </w:p>
        </w:tc>
        <w:tc>
          <w:tcPr>
            <w:tcW w:w="2070" w:type="dxa"/>
            <w:shd w:val="clear" w:color="auto" w:fill="auto"/>
            <w:tcMar>
              <w:top w:w="100" w:type="dxa"/>
              <w:left w:w="100" w:type="dxa"/>
              <w:bottom w:w="100" w:type="dxa"/>
              <w:right w:w="100" w:type="dxa"/>
            </w:tcMar>
          </w:tcPr>
          <w:p w14:paraId="677A0CC2" w14:textId="77777777" w:rsidR="00C8156F" w:rsidRDefault="00BD1DE0">
            <w:pPr>
              <w:widowControl w:val="0"/>
              <w:spacing w:line="240" w:lineRule="auto"/>
            </w:pPr>
            <w:r>
              <w:t>Vérifié/Clarifié</w:t>
            </w:r>
          </w:p>
        </w:tc>
      </w:tr>
      <w:tr w:rsidR="00C8156F" w14:paraId="2BE76549" w14:textId="77777777">
        <w:tc>
          <w:tcPr>
            <w:tcW w:w="3195" w:type="dxa"/>
            <w:shd w:val="clear" w:color="auto" w:fill="auto"/>
            <w:tcMar>
              <w:top w:w="100" w:type="dxa"/>
              <w:left w:w="100" w:type="dxa"/>
              <w:bottom w:w="100" w:type="dxa"/>
              <w:right w:w="100" w:type="dxa"/>
            </w:tcMar>
          </w:tcPr>
          <w:p w14:paraId="02EAFBFF" w14:textId="77777777" w:rsidR="00C8156F" w:rsidRDefault="00BD1DE0">
            <w:pPr>
              <w:widowControl w:val="0"/>
              <w:spacing w:line="240" w:lineRule="auto"/>
            </w:pPr>
            <w:r>
              <w:t xml:space="preserve">Annexe </w:t>
            </w:r>
            <w:proofErr w:type="gramStart"/>
            <w:r>
              <w:t>12  à</w:t>
            </w:r>
            <w:proofErr w:type="gramEnd"/>
            <w:r>
              <w:t xml:space="preserve"> renvoyer avec l’offre</w:t>
            </w:r>
          </w:p>
        </w:tc>
        <w:tc>
          <w:tcPr>
            <w:tcW w:w="3945" w:type="dxa"/>
            <w:shd w:val="clear" w:color="auto" w:fill="auto"/>
            <w:tcMar>
              <w:top w:w="100" w:type="dxa"/>
              <w:left w:w="100" w:type="dxa"/>
              <w:bottom w:w="100" w:type="dxa"/>
              <w:right w:w="100" w:type="dxa"/>
            </w:tcMar>
          </w:tcPr>
          <w:p w14:paraId="0BD2057C" w14:textId="77777777" w:rsidR="00C8156F" w:rsidRDefault="00BD1DE0">
            <w:pPr>
              <w:spacing w:line="240" w:lineRule="auto"/>
            </w:pPr>
            <w:r>
              <w:t>La déclaration du soumissionnaire est correctement remplie.</w:t>
            </w:r>
          </w:p>
        </w:tc>
        <w:tc>
          <w:tcPr>
            <w:tcW w:w="2070" w:type="dxa"/>
            <w:shd w:val="clear" w:color="auto" w:fill="auto"/>
            <w:tcMar>
              <w:top w:w="100" w:type="dxa"/>
              <w:left w:w="100" w:type="dxa"/>
              <w:bottom w:w="100" w:type="dxa"/>
              <w:right w:w="100" w:type="dxa"/>
            </w:tcMar>
          </w:tcPr>
          <w:p w14:paraId="13292119" w14:textId="77777777" w:rsidR="00C8156F" w:rsidRDefault="00BD1DE0">
            <w:pPr>
              <w:widowControl w:val="0"/>
              <w:spacing w:line="240" w:lineRule="auto"/>
            </w:pPr>
            <w:r>
              <w:t>Vérifié/Clarifié</w:t>
            </w:r>
          </w:p>
        </w:tc>
      </w:tr>
      <w:tr w:rsidR="00C8156F" w14:paraId="1B0C88EF" w14:textId="77777777">
        <w:tc>
          <w:tcPr>
            <w:tcW w:w="3195" w:type="dxa"/>
            <w:shd w:val="clear" w:color="auto" w:fill="auto"/>
            <w:tcMar>
              <w:top w:w="100" w:type="dxa"/>
              <w:left w:w="100" w:type="dxa"/>
              <w:bottom w:w="100" w:type="dxa"/>
              <w:right w:w="100" w:type="dxa"/>
            </w:tcMar>
          </w:tcPr>
          <w:p w14:paraId="6725685D" w14:textId="77777777" w:rsidR="00C8156F" w:rsidRDefault="00BD1DE0">
            <w:pPr>
              <w:widowControl w:val="0"/>
              <w:spacing w:line="240" w:lineRule="auto"/>
            </w:pPr>
            <w:r>
              <w:t xml:space="preserve">Annexe 13 sur les conflits </w:t>
            </w:r>
            <w:proofErr w:type="gramStart"/>
            <w:r>
              <w:t>d'intérêt</w:t>
            </w:r>
            <w:r>
              <w:t>s  à</w:t>
            </w:r>
            <w:proofErr w:type="gramEnd"/>
            <w:r>
              <w:t xml:space="preserve"> renvoyer avec l’offre</w:t>
            </w:r>
          </w:p>
        </w:tc>
        <w:tc>
          <w:tcPr>
            <w:tcW w:w="3945" w:type="dxa"/>
            <w:shd w:val="clear" w:color="auto" w:fill="auto"/>
            <w:tcMar>
              <w:top w:w="100" w:type="dxa"/>
              <w:left w:w="100" w:type="dxa"/>
              <w:bottom w:w="100" w:type="dxa"/>
              <w:right w:w="100" w:type="dxa"/>
            </w:tcMar>
          </w:tcPr>
          <w:p w14:paraId="21219AE1" w14:textId="77777777" w:rsidR="00C8156F" w:rsidRDefault="00BD1DE0">
            <w:pPr>
              <w:spacing w:line="240" w:lineRule="auto"/>
              <w:jc w:val="both"/>
            </w:pPr>
            <w:r>
              <w:t>Le soumissionnaire a rempli cette annexe.</w:t>
            </w:r>
            <w:r>
              <w:tab/>
            </w:r>
          </w:p>
        </w:tc>
        <w:tc>
          <w:tcPr>
            <w:tcW w:w="2070" w:type="dxa"/>
            <w:shd w:val="clear" w:color="auto" w:fill="auto"/>
            <w:tcMar>
              <w:top w:w="100" w:type="dxa"/>
              <w:left w:w="100" w:type="dxa"/>
              <w:bottom w:w="100" w:type="dxa"/>
              <w:right w:w="100" w:type="dxa"/>
            </w:tcMar>
          </w:tcPr>
          <w:p w14:paraId="213F78DD" w14:textId="77777777" w:rsidR="00C8156F" w:rsidRDefault="00BD1DE0">
            <w:pPr>
              <w:widowControl w:val="0"/>
              <w:spacing w:line="240" w:lineRule="auto"/>
            </w:pPr>
            <w:r>
              <w:t>Vérifié/Clarifié</w:t>
            </w:r>
          </w:p>
        </w:tc>
      </w:tr>
      <w:tr w:rsidR="00C8156F" w14:paraId="5B421566" w14:textId="77777777">
        <w:tc>
          <w:tcPr>
            <w:tcW w:w="3195" w:type="dxa"/>
            <w:shd w:val="clear" w:color="auto" w:fill="auto"/>
            <w:tcMar>
              <w:top w:w="100" w:type="dxa"/>
              <w:left w:w="100" w:type="dxa"/>
              <w:bottom w:w="100" w:type="dxa"/>
              <w:right w:w="100" w:type="dxa"/>
            </w:tcMar>
          </w:tcPr>
          <w:p w14:paraId="4AEDF9B6" w14:textId="77777777" w:rsidR="00C8156F" w:rsidRDefault="00BD1DE0">
            <w:pPr>
              <w:widowControl w:val="0"/>
              <w:spacing w:line="240" w:lineRule="auto"/>
            </w:pPr>
            <w:r>
              <w:t xml:space="preserve">Annexe 14 sur les </w:t>
            </w:r>
            <w:proofErr w:type="gramStart"/>
            <w:r>
              <w:t>litiges  à</w:t>
            </w:r>
            <w:proofErr w:type="gramEnd"/>
            <w:r>
              <w:t xml:space="preserve"> renvoyer avec l’offre</w:t>
            </w:r>
          </w:p>
        </w:tc>
        <w:tc>
          <w:tcPr>
            <w:tcW w:w="3945" w:type="dxa"/>
            <w:shd w:val="clear" w:color="auto" w:fill="auto"/>
            <w:tcMar>
              <w:top w:w="100" w:type="dxa"/>
              <w:left w:w="100" w:type="dxa"/>
              <w:bottom w:w="100" w:type="dxa"/>
              <w:right w:w="100" w:type="dxa"/>
            </w:tcMar>
          </w:tcPr>
          <w:p w14:paraId="2691A07F" w14:textId="77777777" w:rsidR="00C8156F" w:rsidRDefault="00BD1DE0">
            <w:pPr>
              <w:spacing w:line="240" w:lineRule="auto"/>
              <w:jc w:val="both"/>
            </w:pPr>
            <w:r>
              <w:t>Le soumissionnaire a rempli cette annexe.</w:t>
            </w:r>
            <w:r>
              <w:tab/>
            </w:r>
          </w:p>
        </w:tc>
        <w:tc>
          <w:tcPr>
            <w:tcW w:w="2070" w:type="dxa"/>
            <w:shd w:val="clear" w:color="auto" w:fill="auto"/>
            <w:tcMar>
              <w:top w:w="100" w:type="dxa"/>
              <w:left w:w="100" w:type="dxa"/>
              <w:bottom w:w="100" w:type="dxa"/>
              <w:right w:w="100" w:type="dxa"/>
            </w:tcMar>
          </w:tcPr>
          <w:p w14:paraId="3BC6F8C3" w14:textId="77777777" w:rsidR="00C8156F" w:rsidRDefault="00BD1DE0">
            <w:pPr>
              <w:widowControl w:val="0"/>
              <w:spacing w:line="240" w:lineRule="auto"/>
            </w:pPr>
            <w:r>
              <w:t>Vérifié/Clarifié</w:t>
            </w:r>
          </w:p>
        </w:tc>
      </w:tr>
      <w:tr w:rsidR="00C8156F" w14:paraId="62D63BF5" w14:textId="77777777">
        <w:tc>
          <w:tcPr>
            <w:tcW w:w="3195" w:type="dxa"/>
            <w:shd w:val="clear" w:color="auto" w:fill="auto"/>
            <w:tcMar>
              <w:top w:w="100" w:type="dxa"/>
              <w:left w:w="100" w:type="dxa"/>
              <w:bottom w:w="100" w:type="dxa"/>
              <w:right w:w="100" w:type="dxa"/>
            </w:tcMar>
          </w:tcPr>
          <w:p w14:paraId="113BCB9D" w14:textId="77777777" w:rsidR="00C8156F" w:rsidRDefault="00BD1DE0">
            <w:pPr>
              <w:widowControl w:val="0"/>
              <w:spacing w:line="240" w:lineRule="auto"/>
            </w:pPr>
            <w:r>
              <w:t xml:space="preserve">Annexe 15 sur les </w:t>
            </w:r>
            <w:proofErr w:type="gramStart"/>
            <w:r>
              <w:t>litiges  à</w:t>
            </w:r>
            <w:proofErr w:type="gramEnd"/>
            <w:r>
              <w:t xml:space="preserve"> renvoyer avec l’</w:t>
            </w:r>
            <w:proofErr w:type="spellStart"/>
            <w:r>
              <w:t>offr</w:t>
            </w:r>
            <w:proofErr w:type="spellEnd"/>
          </w:p>
        </w:tc>
        <w:tc>
          <w:tcPr>
            <w:tcW w:w="3945" w:type="dxa"/>
            <w:shd w:val="clear" w:color="auto" w:fill="auto"/>
            <w:tcMar>
              <w:top w:w="100" w:type="dxa"/>
              <w:left w:w="100" w:type="dxa"/>
              <w:bottom w:w="100" w:type="dxa"/>
              <w:right w:w="100" w:type="dxa"/>
            </w:tcMar>
          </w:tcPr>
          <w:p w14:paraId="3DFF0C8B" w14:textId="77777777" w:rsidR="00C8156F" w:rsidRDefault="00BD1DE0">
            <w:r>
              <w:t>Le formulaire d’engagement envers les exigences de durabilité est correctement rempli et signé</w:t>
            </w:r>
          </w:p>
        </w:tc>
        <w:tc>
          <w:tcPr>
            <w:tcW w:w="2070" w:type="dxa"/>
            <w:shd w:val="clear" w:color="auto" w:fill="auto"/>
            <w:tcMar>
              <w:top w:w="100" w:type="dxa"/>
              <w:left w:w="100" w:type="dxa"/>
              <w:bottom w:w="100" w:type="dxa"/>
              <w:right w:w="100" w:type="dxa"/>
            </w:tcMar>
          </w:tcPr>
          <w:p w14:paraId="7C910769" w14:textId="77777777" w:rsidR="00C8156F" w:rsidRDefault="00BD1DE0">
            <w:pPr>
              <w:widowControl w:val="0"/>
              <w:spacing w:line="240" w:lineRule="auto"/>
            </w:pPr>
            <w:r>
              <w:t>Vérifié/Clarifié</w:t>
            </w:r>
          </w:p>
        </w:tc>
      </w:tr>
      <w:tr w:rsidR="00C8156F" w14:paraId="0B65CD7A" w14:textId="77777777">
        <w:tc>
          <w:tcPr>
            <w:tcW w:w="3195" w:type="dxa"/>
            <w:shd w:val="clear" w:color="auto" w:fill="auto"/>
            <w:tcMar>
              <w:top w:w="100" w:type="dxa"/>
              <w:left w:w="100" w:type="dxa"/>
              <w:bottom w:w="100" w:type="dxa"/>
              <w:right w:w="100" w:type="dxa"/>
            </w:tcMar>
          </w:tcPr>
          <w:p w14:paraId="4FC706BC" w14:textId="77777777" w:rsidR="00C8156F" w:rsidRDefault="00BD1DE0">
            <w:pPr>
              <w:widowControl w:val="0"/>
              <w:spacing w:line="240" w:lineRule="auto"/>
            </w:pPr>
            <w:r>
              <w:t xml:space="preserve">Annexe 16 sur les </w:t>
            </w:r>
            <w:proofErr w:type="gramStart"/>
            <w:r>
              <w:t>litiges  à</w:t>
            </w:r>
            <w:proofErr w:type="gramEnd"/>
            <w:r>
              <w:t xml:space="preserve"> renvoyer avec l’offre</w:t>
            </w:r>
          </w:p>
        </w:tc>
        <w:tc>
          <w:tcPr>
            <w:tcW w:w="3945" w:type="dxa"/>
            <w:shd w:val="clear" w:color="auto" w:fill="auto"/>
            <w:tcMar>
              <w:top w:w="100" w:type="dxa"/>
              <w:left w:w="100" w:type="dxa"/>
              <w:bottom w:w="100" w:type="dxa"/>
              <w:right w:w="100" w:type="dxa"/>
            </w:tcMar>
          </w:tcPr>
          <w:p w14:paraId="215A473F" w14:textId="77777777" w:rsidR="00C8156F" w:rsidRDefault="00BD1DE0">
            <w:pPr>
              <w:spacing w:line="240" w:lineRule="auto"/>
            </w:pPr>
            <w:r>
              <w:t xml:space="preserve">Le Questionnaire du programme </w:t>
            </w:r>
            <w:proofErr w:type="spellStart"/>
            <w:r>
              <w:t>DRiVE</w:t>
            </w:r>
            <w:proofErr w:type="spellEnd"/>
            <w:r>
              <w:t xml:space="preserve"> sur les pratiques de fournisseurs en matière de durabilité est correctement renseigné</w:t>
            </w:r>
          </w:p>
        </w:tc>
        <w:tc>
          <w:tcPr>
            <w:tcW w:w="2070" w:type="dxa"/>
            <w:shd w:val="clear" w:color="auto" w:fill="auto"/>
            <w:tcMar>
              <w:top w:w="100" w:type="dxa"/>
              <w:left w:w="100" w:type="dxa"/>
              <w:bottom w:w="100" w:type="dxa"/>
              <w:right w:w="100" w:type="dxa"/>
            </w:tcMar>
          </w:tcPr>
          <w:p w14:paraId="1F6BF369" w14:textId="77777777" w:rsidR="00C8156F" w:rsidRDefault="00C8156F">
            <w:pPr>
              <w:widowControl w:val="0"/>
              <w:spacing w:line="240" w:lineRule="auto"/>
            </w:pPr>
          </w:p>
        </w:tc>
      </w:tr>
      <w:tr w:rsidR="00C8156F" w14:paraId="4BD8F70D" w14:textId="77777777">
        <w:tc>
          <w:tcPr>
            <w:tcW w:w="3195" w:type="dxa"/>
            <w:shd w:val="clear" w:color="auto" w:fill="auto"/>
            <w:tcMar>
              <w:top w:w="100" w:type="dxa"/>
              <w:left w:w="100" w:type="dxa"/>
              <w:bottom w:w="100" w:type="dxa"/>
              <w:right w:w="100" w:type="dxa"/>
            </w:tcMar>
          </w:tcPr>
          <w:p w14:paraId="5B887BFD" w14:textId="77777777" w:rsidR="00C8156F" w:rsidRDefault="00BD1DE0">
            <w:pPr>
              <w:widowControl w:val="0"/>
              <w:spacing w:line="240" w:lineRule="auto"/>
            </w:pPr>
            <w:r>
              <w:t>Admissibilité</w:t>
            </w:r>
          </w:p>
        </w:tc>
        <w:tc>
          <w:tcPr>
            <w:tcW w:w="3945" w:type="dxa"/>
            <w:shd w:val="clear" w:color="auto" w:fill="auto"/>
            <w:tcMar>
              <w:top w:w="100" w:type="dxa"/>
              <w:left w:w="100" w:type="dxa"/>
              <w:bottom w:w="100" w:type="dxa"/>
              <w:right w:w="100" w:type="dxa"/>
            </w:tcMar>
          </w:tcPr>
          <w:p w14:paraId="1E097B5E" w14:textId="77777777" w:rsidR="00C8156F" w:rsidRDefault="00BD1DE0">
            <w:r>
              <w:t>Le soumissionnaire est admissible selon les dispositions de l'article 4 du document Section I : Instructions aux soumissionnaires</w:t>
            </w:r>
          </w:p>
        </w:tc>
        <w:tc>
          <w:tcPr>
            <w:tcW w:w="2070" w:type="dxa"/>
            <w:shd w:val="clear" w:color="auto" w:fill="auto"/>
            <w:tcMar>
              <w:top w:w="100" w:type="dxa"/>
              <w:left w:w="100" w:type="dxa"/>
              <w:bottom w:w="100" w:type="dxa"/>
              <w:right w:w="100" w:type="dxa"/>
            </w:tcMar>
          </w:tcPr>
          <w:p w14:paraId="6CCE928C" w14:textId="77777777" w:rsidR="00C8156F" w:rsidRDefault="00BD1DE0">
            <w:pPr>
              <w:widowControl w:val="0"/>
              <w:spacing w:line="240" w:lineRule="auto"/>
            </w:pPr>
            <w:r>
              <w:t>Vérifié/Clarifié</w:t>
            </w:r>
          </w:p>
        </w:tc>
      </w:tr>
      <w:tr w:rsidR="00C8156F" w14:paraId="300D8EC2" w14:textId="77777777">
        <w:tc>
          <w:tcPr>
            <w:tcW w:w="3195" w:type="dxa"/>
            <w:shd w:val="clear" w:color="auto" w:fill="auto"/>
            <w:tcMar>
              <w:top w:w="100" w:type="dxa"/>
              <w:left w:w="100" w:type="dxa"/>
              <w:bottom w:w="100" w:type="dxa"/>
              <w:right w:w="100" w:type="dxa"/>
            </w:tcMar>
          </w:tcPr>
          <w:p w14:paraId="5D8A80AB" w14:textId="77777777" w:rsidR="00C8156F" w:rsidRDefault="00BD1DE0">
            <w:pPr>
              <w:widowControl w:val="0"/>
              <w:spacing w:line="240" w:lineRule="auto"/>
            </w:pPr>
            <w:r>
              <w:t>Admissibilité</w:t>
            </w:r>
          </w:p>
        </w:tc>
        <w:tc>
          <w:tcPr>
            <w:tcW w:w="3945" w:type="dxa"/>
            <w:shd w:val="clear" w:color="auto" w:fill="auto"/>
            <w:tcMar>
              <w:top w:w="100" w:type="dxa"/>
              <w:left w:w="100" w:type="dxa"/>
              <w:bottom w:w="100" w:type="dxa"/>
              <w:right w:w="100" w:type="dxa"/>
            </w:tcMar>
          </w:tcPr>
          <w:p w14:paraId="2576FCE2" w14:textId="77777777" w:rsidR="00C8156F" w:rsidRDefault="00BD1DE0">
            <w:r>
              <w:t>Le soumissionnaire accepte les Conditions générales du contrat de l'UNOPS stipulées dans l'ann</w:t>
            </w:r>
            <w:r>
              <w:t>exe 2 du modèle de contrat joint.</w:t>
            </w:r>
          </w:p>
        </w:tc>
        <w:tc>
          <w:tcPr>
            <w:tcW w:w="2070" w:type="dxa"/>
            <w:shd w:val="clear" w:color="auto" w:fill="auto"/>
            <w:tcMar>
              <w:top w:w="100" w:type="dxa"/>
              <w:left w:w="100" w:type="dxa"/>
              <w:bottom w:w="100" w:type="dxa"/>
              <w:right w:w="100" w:type="dxa"/>
            </w:tcMar>
          </w:tcPr>
          <w:p w14:paraId="60D03EFE" w14:textId="77777777" w:rsidR="00C8156F" w:rsidRDefault="00BD1DE0">
            <w:pPr>
              <w:widowControl w:val="0"/>
              <w:spacing w:line="240" w:lineRule="auto"/>
            </w:pPr>
            <w:r>
              <w:t>Accepté/Rejeté</w:t>
            </w:r>
          </w:p>
        </w:tc>
      </w:tr>
      <w:tr w:rsidR="00C8156F" w14:paraId="2480974B" w14:textId="77777777">
        <w:tc>
          <w:tcPr>
            <w:tcW w:w="3195" w:type="dxa"/>
            <w:shd w:val="clear" w:color="auto" w:fill="auto"/>
            <w:tcMar>
              <w:top w:w="100" w:type="dxa"/>
              <w:left w:w="100" w:type="dxa"/>
              <w:bottom w:w="100" w:type="dxa"/>
              <w:right w:w="100" w:type="dxa"/>
            </w:tcMar>
          </w:tcPr>
          <w:p w14:paraId="132A8551" w14:textId="77777777" w:rsidR="00C8156F" w:rsidRDefault="00BD1DE0">
            <w:pPr>
              <w:widowControl w:val="0"/>
              <w:spacing w:line="240" w:lineRule="auto"/>
            </w:pPr>
            <w:r>
              <w:t>Admissibilité</w:t>
            </w:r>
          </w:p>
        </w:tc>
        <w:tc>
          <w:tcPr>
            <w:tcW w:w="3945" w:type="dxa"/>
            <w:shd w:val="clear" w:color="auto" w:fill="auto"/>
            <w:tcMar>
              <w:top w:w="100" w:type="dxa"/>
              <w:left w:w="100" w:type="dxa"/>
              <w:bottom w:w="100" w:type="dxa"/>
              <w:right w:w="100" w:type="dxa"/>
            </w:tcMar>
          </w:tcPr>
          <w:p w14:paraId="614929EC" w14:textId="77777777" w:rsidR="00C8156F" w:rsidRDefault="00BD1DE0">
            <w:r>
              <w:t>Fournir les documents légaux de l’entreprise dans le pays du soumissionnaire (Registre de commerce, Identification Nationale, Statut notarié, Agrément du ministère tutelle des travaux/infrastr</w:t>
            </w:r>
            <w:r>
              <w:t>ucture</w:t>
            </w:r>
            <w:proofErr w:type="gramStart"/>
            <w:r>
              <w:t>):</w:t>
            </w:r>
            <w:proofErr w:type="gramEnd"/>
            <w:r>
              <w:t xml:space="preserve"> </w:t>
            </w:r>
            <w:r>
              <w:lastRenderedPageBreak/>
              <w:t>Fournir les copies de RCCM et Agrément.</w:t>
            </w:r>
          </w:p>
        </w:tc>
        <w:tc>
          <w:tcPr>
            <w:tcW w:w="2070" w:type="dxa"/>
            <w:shd w:val="clear" w:color="auto" w:fill="auto"/>
            <w:tcMar>
              <w:top w:w="100" w:type="dxa"/>
              <w:left w:w="100" w:type="dxa"/>
              <w:bottom w:w="100" w:type="dxa"/>
              <w:right w:w="100" w:type="dxa"/>
            </w:tcMar>
          </w:tcPr>
          <w:p w14:paraId="4EDA3719" w14:textId="77777777" w:rsidR="00C8156F" w:rsidRDefault="00BD1DE0">
            <w:pPr>
              <w:widowControl w:val="0"/>
              <w:spacing w:line="240" w:lineRule="auto"/>
            </w:pPr>
            <w:r>
              <w:lastRenderedPageBreak/>
              <w:t>Vérifié/Clarifié</w:t>
            </w:r>
          </w:p>
        </w:tc>
      </w:tr>
      <w:tr w:rsidR="00C8156F" w14:paraId="47728A40" w14:textId="77777777">
        <w:trPr>
          <w:trHeight w:val="420"/>
        </w:trPr>
        <w:tc>
          <w:tcPr>
            <w:tcW w:w="9210" w:type="dxa"/>
            <w:gridSpan w:val="3"/>
            <w:shd w:val="clear" w:color="auto" w:fill="auto"/>
            <w:tcMar>
              <w:top w:w="100" w:type="dxa"/>
              <w:left w:w="100" w:type="dxa"/>
              <w:bottom w:w="100" w:type="dxa"/>
              <w:right w:w="100" w:type="dxa"/>
            </w:tcMar>
            <w:vAlign w:val="center"/>
          </w:tcPr>
          <w:p w14:paraId="7438F095" w14:textId="77777777" w:rsidR="00C8156F" w:rsidRDefault="00BD1DE0">
            <w:pPr>
              <w:widowControl w:val="0"/>
              <w:spacing w:line="240" w:lineRule="auto"/>
              <w:rPr>
                <w:b/>
              </w:rPr>
            </w:pPr>
            <w:r>
              <w:rPr>
                <w:b/>
              </w:rPr>
              <w:t>33.1.2. CRITÈRES DE QUALIFICATION</w:t>
            </w:r>
          </w:p>
        </w:tc>
      </w:tr>
      <w:tr w:rsidR="00C8156F" w14:paraId="476BA1A6" w14:textId="77777777">
        <w:tc>
          <w:tcPr>
            <w:tcW w:w="3195"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102E987D" w14:textId="77777777" w:rsidR="00C8156F" w:rsidRPr="00BD1DE0" w:rsidRDefault="00BD1DE0">
            <w:pPr>
              <w:spacing w:line="240" w:lineRule="auto"/>
              <w:ind w:right="-45"/>
              <w:jc w:val="both"/>
              <w:rPr>
                <w:strike/>
                <w:color w:val="FF0000"/>
              </w:rPr>
            </w:pPr>
            <w:r w:rsidRPr="00BD1DE0">
              <w:rPr>
                <w:strike/>
                <w:color w:val="FF0000"/>
              </w:rPr>
              <w:t>Qualification</w:t>
            </w:r>
          </w:p>
        </w:tc>
        <w:tc>
          <w:tcPr>
            <w:tcW w:w="3945"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669CA1B7" w14:textId="77777777" w:rsidR="00C8156F" w:rsidRPr="00BD1DE0" w:rsidRDefault="00BD1DE0">
            <w:pPr>
              <w:spacing w:line="240" w:lineRule="auto"/>
              <w:ind w:right="-45"/>
              <w:rPr>
                <w:strike/>
                <w:color w:val="FF0000"/>
              </w:rPr>
            </w:pPr>
            <w:r w:rsidRPr="00BD1DE0">
              <w:rPr>
                <w:strike/>
                <w:color w:val="FF0000"/>
              </w:rPr>
              <w:t xml:space="preserve">Le soumissionnaire doit avoir une représentation dans un des pays du projet </w:t>
            </w:r>
            <w:proofErr w:type="spellStart"/>
            <w:r w:rsidRPr="00BD1DE0">
              <w:rPr>
                <w:strike/>
                <w:color w:val="FF0000"/>
              </w:rPr>
              <w:t>Liptako</w:t>
            </w:r>
            <w:proofErr w:type="spellEnd"/>
            <w:r w:rsidRPr="00BD1DE0">
              <w:rPr>
                <w:strike/>
                <w:color w:val="FF0000"/>
              </w:rPr>
              <w:t xml:space="preserve"> Gourma (Burkina Faso, Mali, Niger). Prière de fournir toutes les coordonnées et informations juridiques sur le représentant. L'UNOPS peut demander de vérifier et clarifier </w:t>
            </w:r>
            <w:r w:rsidRPr="00BD1DE0">
              <w:rPr>
                <w:strike/>
                <w:color w:val="FF0000"/>
              </w:rPr>
              <w:t>ce critère.</w:t>
            </w:r>
          </w:p>
        </w:tc>
        <w:tc>
          <w:tcPr>
            <w:tcW w:w="2070"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21F4CD10" w14:textId="77777777" w:rsidR="00C8156F" w:rsidRPr="00BD1DE0" w:rsidRDefault="00BD1DE0">
            <w:pPr>
              <w:spacing w:line="240" w:lineRule="auto"/>
              <w:ind w:right="-45"/>
              <w:jc w:val="both"/>
              <w:rPr>
                <w:strike/>
                <w:color w:val="FF0000"/>
              </w:rPr>
            </w:pPr>
            <w:r w:rsidRPr="00BD1DE0">
              <w:rPr>
                <w:strike/>
                <w:color w:val="FF0000"/>
              </w:rPr>
              <w:t>Accepté/Rejeté</w:t>
            </w:r>
          </w:p>
        </w:tc>
      </w:tr>
      <w:tr w:rsidR="00C8156F" w14:paraId="1E317046" w14:textId="77777777">
        <w:tc>
          <w:tcPr>
            <w:tcW w:w="3195"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0725380C" w14:textId="77777777" w:rsidR="00C8156F" w:rsidRDefault="00BD1DE0">
            <w:pPr>
              <w:spacing w:line="240" w:lineRule="auto"/>
              <w:ind w:right="-45"/>
              <w:jc w:val="both"/>
            </w:pPr>
            <w:r>
              <w:t>Attestation de bilans financiers ou états financiers certifiés</w:t>
            </w:r>
          </w:p>
        </w:tc>
        <w:tc>
          <w:tcPr>
            <w:tcW w:w="3945"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39E3D690" w14:textId="77777777" w:rsidR="00C8156F" w:rsidRDefault="00BD1DE0">
            <w:pPr>
              <w:spacing w:line="240" w:lineRule="auto"/>
              <w:ind w:right="-45"/>
            </w:pPr>
            <w:r>
              <w:t>Capacité financière/Liquidité : Les soumissionnaires devront inclure dans leur proposition un bilan comptable financier certifié montrant au cours des trois (03) der</w:t>
            </w:r>
            <w:r>
              <w:t>nières années (2018-2019-2020 ou 2017-2018- 2019), un cumul de chiffres d'affaires d'au moins 80 000 000 FCFA. Ce critère est acceptable si le chiffre d'affaires d'une année dépasse 80 000 000 FCFA.</w:t>
            </w:r>
          </w:p>
        </w:tc>
        <w:tc>
          <w:tcPr>
            <w:tcW w:w="2070"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74AB209C" w14:textId="77777777" w:rsidR="00C8156F" w:rsidRDefault="00BD1DE0">
            <w:pPr>
              <w:spacing w:line="240" w:lineRule="auto"/>
              <w:ind w:right="-45"/>
              <w:jc w:val="both"/>
            </w:pPr>
            <w:r>
              <w:t xml:space="preserve"> </w:t>
            </w:r>
          </w:p>
          <w:p w14:paraId="640EF9C1" w14:textId="77777777" w:rsidR="00C8156F" w:rsidRDefault="00BD1DE0">
            <w:pPr>
              <w:spacing w:line="240" w:lineRule="auto"/>
              <w:ind w:right="-45"/>
              <w:jc w:val="both"/>
            </w:pPr>
            <w:r>
              <w:t xml:space="preserve"> </w:t>
            </w:r>
          </w:p>
          <w:p w14:paraId="2D904F56" w14:textId="77777777" w:rsidR="00C8156F" w:rsidRDefault="00BD1DE0">
            <w:pPr>
              <w:spacing w:line="240" w:lineRule="auto"/>
              <w:ind w:right="-45"/>
              <w:jc w:val="both"/>
            </w:pPr>
            <w:r>
              <w:t xml:space="preserve"> </w:t>
            </w:r>
          </w:p>
          <w:p w14:paraId="14405124" w14:textId="77777777" w:rsidR="00C8156F" w:rsidRDefault="00BD1DE0">
            <w:pPr>
              <w:spacing w:line="240" w:lineRule="auto"/>
              <w:ind w:right="-45"/>
              <w:jc w:val="both"/>
            </w:pPr>
            <w:r>
              <w:t xml:space="preserve"> </w:t>
            </w:r>
          </w:p>
          <w:p w14:paraId="02757CB7" w14:textId="77777777" w:rsidR="00C8156F" w:rsidRDefault="00BD1DE0">
            <w:pPr>
              <w:spacing w:line="240" w:lineRule="auto"/>
              <w:ind w:right="-45"/>
              <w:jc w:val="both"/>
            </w:pPr>
            <w:r>
              <w:t xml:space="preserve"> </w:t>
            </w:r>
          </w:p>
          <w:p w14:paraId="703E3984" w14:textId="77777777" w:rsidR="00C8156F" w:rsidRDefault="00BD1DE0">
            <w:pPr>
              <w:spacing w:line="240" w:lineRule="auto"/>
              <w:ind w:right="-45"/>
              <w:jc w:val="both"/>
            </w:pPr>
            <w:r>
              <w:t>Accepté/Rejeté</w:t>
            </w:r>
          </w:p>
        </w:tc>
      </w:tr>
      <w:tr w:rsidR="00C8156F" w14:paraId="2D0E34C0" w14:textId="77777777">
        <w:tc>
          <w:tcPr>
            <w:tcW w:w="3195"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69ACE673" w14:textId="77777777" w:rsidR="00C8156F" w:rsidRDefault="00BD1DE0">
            <w:pPr>
              <w:spacing w:line="240" w:lineRule="auto"/>
              <w:ind w:right="-45"/>
              <w:jc w:val="both"/>
            </w:pPr>
            <w:r>
              <w:t xml:space="preserve">Certificat de constitution du soumissionnaire (registre de commerce, statuts, </w:t>
            </w:r>
            <w:proofErr w:type="spellStart"/>
            <w:r>
              <w:t>Alvará</w:t>
            </w:r>
            <w:proofErr w:type="spellEnd"/>
            <w:r>
              <w:t>)</w:t>
            </w:r>
          </w:p>
          <w:p w14:paraId="2911AC62" w14:textId="77777777" w:rsidR="00C8156F" w:rsidRDefault="00BD1DE0">
            <w:pPr>
              <w:widowControl w:val="0"/>
              <w:tabs>
                <w:tab w:val="left" w:pos="1567"/>
              </w:tabs>
              <w:spacing w:before="1"/>
              <w:ind w:right="247"/>
              <w:jc w:val="both"/>
            </w:pPr>
            <w:r>
              <w:t xml:space="preserve">Attestation de bonne exécution des services de contrôle effectués et copie des contrats associes (première page et page de signature) délivrée par le maître d’ouvrage ou </w:t>
            </w:r>
            <w:r>
              <w:t>son représentant</w:t>
            </w:r>
          </w:p>
        </w:tc>
        <w:tc>
          <w:tcPr>
            <w:tcW w:w="3945"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260F06F1" w14:textId="77777777" w:rsidR="00C8156F" w:rsidRDefault="00BD1DE0">
            <w:pPr>
              <w:spacing w:line="240" w:lineRule="auto"/>
              <w:ind w:right="-45"/>
              <w:jc w:val="both"/>
            </w:pPr>
            <w:r>
              <w:t>Le soumissionnaire devra avoir travaillé dans la prestation de services similaires à ceux indiqués dans la Liste des besoins, durant les cinq (05) années précédant la date d’ouverture des propositions.</w:t>
            </w:r>
          </w:p>
        </w:tc>
        <w:tc>
          <w:tcPr>
            <w:tcW w:w="2070" w:type="dxa"/>
            <w:tcBorders>
              <w:top w:val="single" w:sz="4" w:space="0" w:color="000000"/>
              <w:left w:val="single" w:sz="4" w:space="0" w:color="000000"/>
              <w:bottom w:val="single" w:sz="4" w:space="0" w:color="000000"/>
              <w:right w:val="single" w:sz="4" w:space="0" w:color="000000"/>
            </w:tcBorders>
            <w:tcMar>
              <w:top w:w="86" w:type="dxa"/>
              <w:left w:w="86" w:type="dxa"/>
              <w:bottom w:w="86" w:type="dxa"/>
              <w:right w:w="86" w:type="dxa"/>
            </w:tcMar>
            <w:vAlign w:val="center"/>
          </w:tcPr>
          <w:p w14:paraId="298A0F23" w14:textId="77777777" w:rsidR="00C8156F" w:rsidRDefault="00BD1DE0">
            <w:pPr>
              <w:spacing w:line="240" w:lineRule="auto"/>
              <w:ind w:right="-45"/>
              <w:jc w:val="both"/>
            </w:pPr>
            <w:r>
              <w:t xml:space="preserve"> </w:t>
            </w:r>
          </w:p>
          <w:p w14:paraId="30738569" w14:textId="77777777" w:rsidR="00C8156F" w:rsidRDefault="00BD1DE0">
            <w:pPr>
              <w:spacing w:line="240" w:lineRule="auto"/>
              <w:ind w:right="-45"/>
              <w:jc w:val="both"/>
            </w:pPr>
            <w:r>
              <w:t xml:space="preserve"> </w:t>
            </w:r>
          </w:p>
          <w:p w14:paraId="5AD1E2DC" w14:textId="77777777" w:rsidR="00C8156F" w:rsidRDefault="00BD1DE0">
            <w:pPr>
              <w:spacing w:line="240" w:lineRule="auto"/>
              <w:ind w:right="-45"/>
              <w:jc w:val="both"/>
            </w:pPr>
            <w:r>
              <w:t xml:space="preserve"> </w:t>
            </w:r>
          </w:p>
          <w:p w14:paraId="40F90A55" w14:textId="77777777" w:rsidR="00C8156F" w:rsidRDefault="00BD1DE0">
            <w:pPr>
              <w:spacing w:line="240" w:lineRule="auto"/>
              <w:ind w:right="-45"/>
              <w:jc w:val="both"/>
            </w:pPr>
            <w:r>
              <w:t>Accepté/Rejeté</w:t>
            </w:r>
          </w:p>
        </w:tc>
      </w:tr>
    </w:tbl>
    <w:p w14:paraId="150A635F" w14:textId="77777777" w:rsidR="00C8156F" w:rsidRDefault="00C8156F">
      <w:pPr>
        <w:spacing w:line="240" w:lineRule="auto"/>
        <w:ind w:left="270"/>
        <w:jc w:val="both"/>
        <w:rPr>
          <w:b/>
          <w:i/>
          <w:highlight w:val="lightGray"/>
        </w:rPr>
      </w:pPr>
    </w:p>
    <w:p w14:paraId="4A930123" w14:textId="77777777" w:rsidR="00C8156F" w:rsidRDefault="00BD1DE0">
      <w:pPr>
        <w:spacing w:line="240" w:lineRule="auto"/>
        <w:jc w:val="both"/>
        <w:rPr>
          <w:b/>
          <w:u w:val="single"/>
        </w:rPr>
      </w:pPr>
      <w:r>
        <w:br w:type="page"/>
      </w:r>
    </w:p>
    <w:p w14:paraId="049F7C74" w14:textId="77777777" w:rsidR="00C8156F" w:rsidRDefault="00BD1DE0">
      <w:pPr>
        <w:numPr>
          <w:ilvl w:val="1"/>
          <w:numId w:val="7"/>
        </w:numPr>
        <w:spacing w:line="240" w:lineRule="auto"/>
        <w:ind w:left="270" w:firstLine="0"/>
        <w:jc w:val="both"/>
      </w:pPr>
      <w:r>
        <w:rPr>
          <w:b/>
          <w:u w:val="single"/>
        </w:rPr>
        <w:lastRenderedPageBreak/>
        <w:t>Critères d’évaluation technique</w:t>
      </w:r>
    </w:p>
    <w:p w14:paraId="75760E5B" w14:textId="77777777" w:rsidR="00C8156F" w:rsidRDefault="00BD1DE0">
      <w:pPr>
        <w:spacing w:before="120" w:after="120" w:line="240" w:lineRule="auto"/>
        <w:jc w:val="both"/>
      </w:pPr>
      <w:r>
        <w:t>Les offres seront évaluées en utilisant le schéma ci-dessous :</w:t>
      </w:r>
    </w:p>
    <w:tbl>
      <w:tblPr>
        <w:tblStyle w:val="a0"/>
        <w:tblW w:w="9420" w:type="dxa"/>
        <w:tblBorders>
          <w:top w:val="nil"/>
          <w:left w:val="nil"/>
          <w:bottom w:val="nil"/>
          <w:right w:val="nil"/>
          <w:insideH w:val="nil"/>
          <w:insideV w:val="nil"/>
        </w:tblBorders>
        <w:tblLayout w:type="fixed"/>
        <w:tblLook w:val="0600" w:firstRow="0" w:lastRow="0" w:firstColumn="0" w:lastColumn="0" w:noHBand="1" w:noVBand="1"/>
      </w:tblPr>
      <w:tblGrid>
        <w:gridCol w:w="435"/>
        <w:gridCol w:w="6765"/>
        <w:gridCol w:w="2220"/>
      </w:tblGrid>
      <w:tr w:rsidR="00C8156F" w14:paraId="26DA86C0" w14:textId="77777777">
        <w:trPr>
          <w:trHeight w:val="435"/>
        </w:trPr>
        <w:tc>
          <w:tcPr>
            <w:tcW w:w="435" w:type="dxa"/>
            <w:tcBorders>
              <w:top w:val="single" w:sz="8" w:space="0" w:color="000000"/>
              <w:left w:val="single" w:sz="8" w:space="0" w:color="000000"/>
              <w:bottom w:val="single" w:sz="8" w:space="0" w:color="000000"/>
              <w:right w:val="single" w:sz="8" w:space="0" w:color="000000"/>
            </w:tcBorders>
            <w:shd w:val="clear" w:color="auto" w:fill="C9DAF8"/>
            <w:tcMar>
              <w:top w:w="72" w:type="dxa"/>
              <w:left w:w="72" w:type="dxa"/>
              <w:bottom w:w="72" w:type="dxa"/>
              <w:right w:w="72" w:type="dxa"/>
            </w:tcMar>
          </w:tcPr>
          <w:p w14:paraId="4D11BD4E" w14:textId="77777777" w:rsidR="00C8156F" w:rsidRDefault="00BD1DE0">
            <w:pPr>
              <w:spacing w:before="60" w:after="60" w:line="240" w:lineRule="auto"/>
              <w:ind w:right="-60"/>
              <w:jc w:val="both"/>
              <w:rPr>
                <w:rFonts w:ascii="Arial" w:eastAsia="Arial" w:hAnsi="Arial" w:cs="Arial"/>
                <w:b/>
                <w:shd w:val="clear" w:color="auto" w:fill="C9DAF8"/>
              </w:rPr>
            </w:pPr>
            <w:r>
              <w:rPr>
                <w:rFonts w:ascii="Arial" w:eastAsia="Arial" w:hAnsi="Arial" w:cs="Arial"/>
                <w:b/>
                <w:shd w:val="clear" w:color="auto" w:fill="C9DAF8"/>
              </w:rPr>
              <w:t>NS</w:t>
            </w:r>
          </w:p>
        </w:tc>
        <w:tc>
          <w:tcPr>
            <w:tcW w:w="6765" w:type="dxa"/>
            <w:tcBorders>
              <w:top w:val="single" w:sz="8" w:space="0" w:color="000000"/>
              <w:left w:val="single" w:sz="8" w:space="0" w:color="000000"/>
              <w:bottom w:val="single" w:sz="8" w:space="0" w:color="000000"/>
              <w:right w:val="single" w:sz="8" w:space="0" w:color="000000"/>
            </w:tcBorders>
            <w:shd w:val="clear" w:color="auto" w:fill="C9DAF8"/>
            <w:tcMar>
              <w:top w:w="72" w:type="dxa"/>
              <w:left w:w="72" w:type="dxa"/>
              <w:bottom w:w="72" w:type="dxa"/>
              <w:right w:w="72" w:type="dxa"/>
            </w:tcMar>
          </w:tcPr>
          <w:p w14:paraId="3C984A1B" w14:textId="77777777" w:rsidR="00C8156F" w:rsidRDefault="00BD1DE0">
            <w:pPr>
              <w:spacing w:before="60" w:after="60" w:line="240" w:lineRule="auto"/>
              <w:ind w:right="-60"/>
              <w:jc w:val="both"/>
              <w:rPr>
                <w:rFonts w:ascii="Arial" w:eastAsia="Arial" w:hAnsi="Arial" w:cs="Arial"/>
                <w:b/>
                <w:shd w:val="clear" w:color="auto" w:fill="C9DAF8"/>
              </w:rPr>
            </w:pPr>
            <w:r>
              <w:rPr>
                <w:rFonts w:ascii="Arial" w:eastAsia="Arial" w:hAnsi="Arial" w:cs="Arial"/>
                <w:b/>
                <w:shd w:val="clear" w:color="auto" w:fill="C9DAF8"/>
              </w:rPr>
              <w:t>Critères techniques</w:t>
            </w:r>
          </w:p>
        </w:tc>
        <w:tc>
          <w:tcPr>
            <w:tcW w:w="2220" w:type="dxa"/>
            <w:tcBorders>
              <w:top w:val="single" w:sz="8" w:space="0" w:color="000000"/>
              <w:left w:val="nil"/>
              <w:bottom w:val="single" w:sz="8" w:space="0" w:color="000000"/>
              <w:right w:val="single" w:sz="8" w:space="0" w:color="000000"/>
            </w:tcBorders>
            <w:shd w:val="clear" w:color="auto" w:fill="C9DAF8"/>
            <w:tcMar>
              <w:top w:w="72" w:type="dxa"/>
              <w:left w:w="72" w:type="dxa"/>
              <w:bottom w:w="72" w:type="dxa"/>
              <w:right w:w="72" w:type="dxa"/>
            </w:tcMar>
          </w:tcPr>
          <w:p w14:paraId="395FAF72" w14:textId="77777777" w:rsidR="00C8156F" w:rsidRDefault="00BD1DE0">
            <w:pPr>
              <w:spacing w:before="60" w:after="60" w:line="240" w:lineRule="auto"/>
              <w:ind w:right="-60"/>
              <w:jc w:val="both"/>
              <w:rPr>
                <w:rFonts w:ascii="Arial" w:eastAsia="Arial" w:hAnsi="Arial" w:cs="Arial"/>
                <w:b/>
                <w:shd w:val="clear" w:color="auto" w:fill="C9DAF8"/>
              </w:rPr>
            </w:pPr>
            <w:r>
              <w:rPr>
                <w:rFonts w:ascii="Arial" w:eastAsia="Arial" w:hAnsi="Arial" w:cs="Arial"/>
                <w:b/>
                <w:shd w:val="clear" w:color="auto" w:fill="C9DAF8"/>
              </w:rPr>
              <w:t>Barème</w:t>
            </w:r>
          </w:p>
        </w:tc>
      </w:tr>
      <w:tr w:rsidR="00C8156F" w14:paraId="517346E7" w14:textId="77777777">
        <w:trPr>
          <w:trHeight w:val="429"/>
        </w:trPr>
        <w:tc>
          <w:tcPr>
            <w:tcW w:w="435" w:type="dxa"/>
            <w:tcBorders>
              <w:top w:val="nil"/>
              <w:left w:val="single" w:sz="8" w:space="0" w:color="000000"/>
              <w:bottom w:val="single" w:sz="8" w:space="0" w:color="000000"/>
              <w:right w:val="single" w:sz="8" w:space="0" w:color="000000"/>
            </w:tcBorders>
            <w:tcMar>
              <w:top w:w="72" w:type="dxa"/>
              <w:left w:w="72" w:type="dxa"/>
              <w:bottom w:w="72" w:type="dxa"/>
              <w:right w:w="72" w:type="dxa"/>
            </w:tcMar>
          </w:tcPr>
          <w:p w14:paraId="28704187" w14:textId="77777777" w:rsidR="00C8156F" w:rsidRDefault="00BD1DE0">
            <w:pPr>
              <w:spacing w:before="60" w:after="60" w:line="240" w:lineRule="auto"/>
              <w:ind w:left="360" w:right="-60" w:hanging="360"/>
              <w:jc w:val="both"/>
              <w:rPr>
                <w:rFonts w:ascii="Arial" w:eastAsia="Arial" w:hAnsi="Arial" w:cs="Arial"/>
              </w:rPr>
            </w:pPr>
            <w:r>
              <w:rPr>
                <w:rFonts w:ascii="Arial" w:eastAsia="Arial" w:hAnsi="Arial" w:cs="Arial"/>
              </w:rPr>
              <w:t>1</w:t>
            </w:r>
          </w:p>
        </w:tc>
        <w:tc>
          <w:tcPr>
            <w:tcW w:w="6765" w:type="dxa"/>
            <w:tcBorders>
              <w:top w:val="nil"/>
              <w:left w:val="single" w:sz="8" w:space="0" w:color="000000"/>
              <w:bottom w:val="single" w:sz="8" w:space="0" w:color="000000"/>
              <w:right w:val="single" w:sz="8" w:space="0" w:color="000000"/>
            </w:tcBorders>
            <w:tcMar>
              <w:top w:w="72" w:type="dxa"/>
              <w:left w:w="72" w:type="dxa"/>
              <w:bottom w:w="72" w:type="dxa"/>
              <w:right w:w="72" w:type="dxa"/>
            </w:tcMar>
          </w:tcPr>
          <w:p w14:paraId="758EA059" w14:textId="77777777" w:rsidR="00C8156F" w:rsidRDefault="00BD1DE0">
            <w:pPr>
              <w:spacing w:before="60" w:after="60" w:line="240" w:lineRule="auto"/>
              <w:ind w:left="360" w:right="-60"/>
              <w:jc w:val="both"/>
              <w:rPr>
                <w:rFonts w:ascii="Arial" w:eastAsia="Arial" w:hAnsi="Arial" w:cs="Arial"/>
              </w:rPr>
            </w:pPr>
            <w:r>
              <w:rPr>
                <w:rFonts w:ascii="Arial" w:eastAsia="Arial" w:hAnsi="Arial" w:cs="Arial"/>
              </w:rPr>
              <w:t xml:space="preserve">Méthodologie (compréhension des </w:t>
            </w:r>
            <w:proofErr w:type="spellStart"/>
            <w:r>
              <w:rPr>
                <w:rFonts w:ascii="Arial" w:eastAsia="Arial" w:hAnsi="Arial" w:cs="Arial"/>
              </w:rPr>
              <w:t>TdR</w:t>
            </w:r>
            <w:proofErr w:type="spellEnd"/>
            <w:r>
              <w:rPr>
                <w:rFonts w:ascii="Arial" w:eastAsia="Arial" w:hAnsi="Arial" w:cs="Arial"/>
              </w:rPr>
              <w:t>, propositions d’amélioration, méthodologie proposée et chronogramme)</w:t>
            </w:r>
          </w:p>
        </w:tc>
        <w:tc>
          <w:tcPr>
            <w:tcW w:w="2220" w:type="dxa"/>
            <w:tcBorders>
              <w:top w:val="nil"/>
              <w:left w:val="nil"/>
              <w:bottom w:val="single" w:sz="8" w:space="0" w:color="000000"/>
              <w:right w:val="single" w:sz="8" w:space="0" w:color="000000"/>
            </w:tcBorders>
            <w:tcMar>
              <w:top w:w="72" w:type="dxa"/>
              <w:left w:w="72" w:type="dxa"/>
              <w:bottom w:w="72" w:type="dxa"/>
              <w:right w:w="72" w:type="dxa"/>
            </w:tcMar>
          </w:tcPr>
          <w:p w14:paraId="7BAA5B08" w14:textId="77777777" w:rsidR="00C8156F" w:rsidRDefault="00BD1DE0">
            <w:pPr>
              <w:spacing w:before="60" w:after="60" w:line="240" w:lineRule="auto"/>
              <w:ind w:right="-60"/>
              <w:jc w:val="both"/>
              <w:rPr>
                <w:rFonts w:ascii="Arial" w:eastAsia="Arial" w:hAnsi="Arial" w:cs="Arial"/>
              </w:rPr>
            </w:pPr>
            <w:r>
              <w:rPr>
                <w:rFonts w:ascii="Arial" w:eastAsia="Arial" w:hAnsi="Arial" w:cs="Arial"/>
              </w:rPr>
              <w:t>35 points</w:t>
            </w:r>
          </w:p>
        </w:tc>
      </w:tr>
      <w:tr w:rsidR="00C8156F" w14:paraId="1C08B361" w14:textId="77777777">
        <w:trPr>
          <w:trHeight w:val="214"/>
        </w:trPr>
        <w:tc>
          <w:tcPr>
            <w:tcW w:w="435"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tcPr>
          <w:p w14:paraId="4E73F5A4" w14:textId="77777777" w:rsidR="00C8156F" w:rsidRDefault="00BD1DE0">
            <w:pPr>
              <w:spacing w:before="60" w:after="60" w:line="240" w:lineRule="auto"/>
              <w:ind w:left="360" w:right="-60" w:hanging="360"/>
              <w:jc w:val="both"/>
              <w:rPr>
                <w:rFonts w:ascii="Arial" w:eastAsia="Arial" w:hAnsi="Arial" w:cs="Arial"/>
              </w:rPr>
            </w:pPr>
            <w:r>
              <w:rPr>
                <w:rFonts w:ascii="Arial" w:eastAsia="Arial" w:hAnsi="Arial" w:cs="Arial"/>
              </w:rPr>
              <w:t>2</w:t>
            </w:r>
          </w:p>
        </w:tc>
        <w:tc>
          <w:tcPr>
            <w:tcW w:w="6765" w:type="dxa"/>
            <w:tcBorders>
              <w:top w:val="single" w:sz="8" w:space="0" w:color="000000"/>
              <w:left w:val="single" w:sz="8" w:space="0" w:color="000000"/>
              <w:bottom w:val="single" w:sz="8" w:space="0" w:color="000000"/>
              <w:right w:val="single" w:sz="8" w:space="0" w:color="000000"/>
            </w:tcBorders>
            <w:tcMar>
              <w:top w:w="72" w:type="dxa"/>
              <w:left w:w="72" w:type="dxa"/>
              <w:bottom w:w="72" w:type="dxa"/>
              <w:right w:w="72" w:type="dxa"/>
            </w:tcMar>
          </w:tcPr>
          <w:p w14:paraId="51A379BB" w14:textId="77777777" w:rsidR="00C8156F" w:rsidRDefault="00BD1DE0">
            <w:pPr>
              <w:spacing w:before="60" w:after="60" w:line="240" w:lineRule="auto"/>
              <w:ind w:left="360" w:right="-60"/>
              <w:jc w:val="both"/>
              <w:rPr>
                <w:rFonts w:ascii="Arial" w:eastAsia="Arial" w:hAnsi="Arial" w:cs="Arial"/>
              </w:rPr>
            </w:pPr>
            <w:r>
              <w:rPr>
                <w:rFonts w:ascii="Arial" w:eastAsia="Arial" w:hAnsi="Arial" w:cs="Arial"/>
              </w:rPr>
              <w:t>Références du bureau de contrôle</w:t>
            </w:r>
          </w:p>
        </w:tc>
        <w:tc>
          <w:tcPr>
            <w:tcW w:w="2220" w:type="dxa"/>
            <w:tcBorders>
              <w:top w:val="single" w:sz="8" w:space="0" w:color="000000"/>
              <w:left w:val="nil"/>
              <w:bottom w:val="single" w:sz="8" w:space="0" w:color="000000"/>
              <w:right w:val="single" w:sz="8" w:space="0" w:color="000000"/>
            </w:tcBorders>
            <w:tcMar>
              <w:top w:w="72" w:type="dxa"/>
              <w:left w:w="72" w:type="dxa"/>
              <w:bottom w:w="72" w:type="dxa"/>
              <w:right w:w="72" w:type="dxa"/>
            </w:tcMar>
          </w:tcPr>
          <w:p w14:paraId="0781DD05" w14:textId="77777777" w:rsidR="00C8156F" w:rsidRDefault="00BD1DE0">
            <w:pPr>
              <w:spacing w:before="60" w:after="60" w:line="240" w:lineRule="auto"/>
              <w:ind w:right="-60"/>
              <w:jc w:val="both"/>
              <w:rPr>
                <w:rFonts w:ascii="Arial" w:eastAsia="Arial" w:hAnsi="Arial" w:cs="Arial"/>
              </w:rPr>
            </w:pPr>
            <w:r>
              <w:rPr>
                <w:rFonts w:ascii="Arial" w:eastAsia="Arial" w:hAnsi="Arial" w:cs="Arial"/>
              </w:rPr>
              <w:t>35 points</w:t>
            </w:r>
          </w:p>
        </w:tc>
      </w:tr>
      <w:tr w:rsidR="00C8156F" w14:paraId="29541818" w14:textId="77777777">
        <w:trPr>
          <w:trHeight w:val="94"/>
        </w:trPr>
        <w:tc>
          <w:tcPr>
            <w:tcW w:w="435" w:type="dxa"/>
            <w:tcBorders>
              <w:top w:val="nil"/>
              <w:left w:val="single" w:sz="8" w:space="0" w:color="000000"/>
              <w:bottom w:val="single" w:sz="8" w:space="0" w:color="000000"/>
              <w:right w:val="single" w:sz="8" w:space="0" w:color="000000"/>
            </w:tcBorders>
            <w:tcMar>
              <w:top w:w="72" w:type="dxa"/>
              <w:left w:w="72" w:type="dxa"/>
              <w:bottom w:w="72" w:type="dxa"/>
              <w:right w:w="72" w:type="dxa"/>
            </w:tcMar>
          </w:tcPr>
          <w:p w14:paraId="14D64A50" w14:textId="77777777" w:rsidR="00C8156F" w:rsidRDefault="00BD1DE0">
            <w:pPr>
              <w:spacing w:before="60" w:after="60" w:line="240" w:lineRule="auto"/>
              <w:ind w:left="360" w:right="-60" w:hanging="360"/>
              <w:jc w:val="both"/>
              <w:rPr>
                <w:rFonts w:ascii="Arial" w:eastAsia="Arial" w:hAnsi="Arial" w:cs="Arial"/>
              </w:rPr>
            </w:pPr>
            <w:r>
              <w:rPr>
                <w:rFonts w:ascii="Arial" w:eastAsia="Arial" w:hAnsi="Arial" w:cs="Arial"/>
              </w:rPr>
              <w:t>3</w:t>
            </w:r>
          </w:p>
        </w:tc>
        <w:tc>
          <w:tcPr>
            <w:tcW w:w="6765" w:type="dxa"/>
            <w:tcBorders>
              <w:top w:val="nil"/>
              <w:left w:val="single" w:sz="8" w:space="0" w:color="000000"/>
              <w:bottom w:val="single" w:sz="8" w:space="0" w:color="000000"/>
              <w:right w:val="single" w:sz="8" w:space="0" w:color="000000"/>
            </w:tcBorders>
            <w:tcMar>
              <w:top w:w="72" w:type="dxa"/>
              <w:left w:w="72" w:type="dxa"/>
              <w:bottom w:w="72" w:type="dxa"/>
              <w:right w:w="72" w:type="dxa"/>
            </w:tcMar>
          </w:tcPr>
          <w:p w14:paraId="7BED89C5" w14:textId="77777777" w:rsidR="00C8156F" w:rsidRDefault="00BD1DE0">
            <w:pPr>
              <w:spacing w:before="60" w:after="60" w:line="240" w:lineRule="auto"/>
              <w:ind w:left="360" w:right="-60"/>
              <w:jc w:val="both"/>
              <w:rPr>
                <w:rFonts w:ascii="Arial" w:eastAsia="Arial" w:hAnsi="Arial" w:cs="Arial"/>
              </w:rPr>
            </w:pPr>
            <w:r>
              <w:rPr>
                <w:rFonts w:ascii="Arial" w:eastAsia="Arial" w:hAnsi="Arial" w:cs="Arial"/>
              </w:rPr>
              <w:t>Qualification et références du personnel proposé</w:t>
            </w:r>
          </w:p>
        </w:tc>
        <w:tc>
          <w:tcPr>
            <w:tcW w:w="2220" w:type="dxa"/>
            <w:tcBorders>
              <w:top w:val="nil"/>
              <w:left w:val="nil"/>
              <w:bottom w:val="single" w:sz="8" w:space="0" w:color="000000"/>
              <w:right w:val="single" w:sz="8" w:space="0" w:color="000000"/>
            </w:tcBorders>
            <w:tcMar>
              <w:top w:w="72" w:type="dxa"/>
              <w:left w:w="72" w:type="dxa"/>
              <w:bottom w:w="72" w:type="dxa"/>
              <w:right w:w="72" w:type="dxa"/>
            </w:tcMar>
          </w:tcPr>
          <w:p w14:paraId="62CB38EF" w14:textId="77777777" w:rsidR="00C8156F" w:rsidRDefault="00BD1DE0">
            <w:pPr>
              <w:spacing w:before="60" w:after="60" w:line="240" w:lineRule="auto"/>
              <w:ind w:right="-60"/>
              <w:jc w:val="both"/>
              <w:rPr>
                <w:rFonts w:ascii="Arial" w:eastAsia="Arial" w:hAnsi="Arial" w:cs="Arial"/>
              </w:rPr>
            </w:pPr>
            <w:r>
              <w:rPr>
                <w:rFonts w:ascii="Arial" w:eastAsia="Arial" w:hAnsi="Arial" w:cs="Arial"/>
              </w:rPr>
              <w:t>30 points</w:t>
            </w:r>
          </w:p>
        </w:tc>
      </w:tr>
      <w:tr w:rsidR="00C8156F" w14:paraId="2CED7D05" w14:textId="77777777">
        <w:tc>
          <w:tcPr>
            <w:tcW w:w="435" w:type="dxa"/>
            <w:tcBorders>
              <w:top w:val="nil"/>
              <w:left w:val="single" w:sz="8" w:space="0" w:color="000000"/>
              <w:bottom w:val="single" w:sz="8" w:space="0" w:color="000000"/>
              <w:right w:val="single" w:sz="8" w:space="0" w:color="000000"/>
            </w:tcBorders>
            <w:shd w:val="clear" w:color="auto" w:fill="C9DAF8"/>
            <w:tcMar>
              <w:top w:w="72" w:type="dxa"/>
              <w:left w:w="72" w:type="dxa"/>
              <w:bottom w:w="72" w:type="dxa"/>
              <w:right w:w="72" w:type="dxa"/>
            </w:tcMar>
          </w:tcPr>
          <w:p w14:paraId="1A2D2072" w14:textId="77777777" w:rsidR="00C8156F" w:rsidRDefault="00C8156F">
            <w:pPr>
              <w:spacing w:before="60" w:after="60" w:line="240" w:lineRule="auto"/>
              <w:ind w:left="1080" w:right="-60"/>
              <w:jc w:val="both"/>
              <w:rPr>
                <w:rFonts w:ascii="Arial" w:eastAsia="Arial" w:hAnsi="Arial" w:cs="Arial"/>
                <w:b/>
              </w:rPr>
            </w:pPr>
          </w:p>
        </w:tc>
        <w:tc>
          <w:tcPr>
            <w:tcW w:w="6765" w:type="dxa"/>
            <w:tcBorders>
              <w:top w:val="nil"/>
              <w:left w:val="single" w:sz="8" w:space="0" w:color="000000"/>
              <w:bottom w:val="single" w:sz="8" w:space="0" w:color="000000"/>
              <w:right w:val="single" w:sz="8" w:space="0" w:color="000000"/>
            </w:tcBorders>
            <w:shd w:val="clear" w:color="auto" w:fill="C9DAF8"/>
            <w:tcMar>
              <w:top w:w="72" w:type="dxa"/>
              <w:left w:w="72" w:type="dxa"/>
              <w:bottom w:w="72" w:type="dxa"/>
              <w:right w:w="72" w:type="dxa"/>
            </w:tcMar>
          </w:tcPr>
          <w:p w14:paraId="50427314" w14:textId="77777777" w:rsidR="00C8156F" w:rsidRDefault="00BD1DE0">
            <w:pPr>
              <w:spacing w:before="60" w:after="60" w:line="240" w:lineRule="auto"/>
              <w:ind w:left="1080" w:right="-60"/>
              <w:jc w:val="both"/>
              <w:rPr>
                <w:rFonts w:ascii="Arial" w:eastAsia="Arial" w:hAnsi="Arial" w:cs="Arial"/>
                <w:b/>
              </w:rPr>
            </w:pPr>
            <w:r>
              <w:rPr>
                <w:rFonts w:ascii="Arial" w:eastAsia="Arial" w:hAnsi="Arial" w:cs="Arial"/>
                <w:b/>
              </w:rPr>
              <w:t>Total</w:t>
            </w:r>
          </w:p>
        </w:tc>
        <w:tc>
          <w:tcPr>
            <w:tcW w:w="2220" w:type="dxa"/>
            <w:tcBorders>
              <w:top w:val="nil"/>
              <w:left w:val="nil"/>
              <w:bottom w:val="single" w:sz="8" w:space="0" w:color="000000"/>
              <w:right w:val="single" w:sz="8" w:space="0" w:color="000000"/>
            </w:tcBorders>
            <w:shd w:val="clear" w:color="auto" w:fill="C9DAF8"/>
            <w:tcMar>
              <w:top w:w="72" w:type="dxa"/>
              <w:left w:w="72" w:type="dxa"/>
              <w:bottom w:w="72" w:type="dxa"/>
              <w:right w:w="72" w:type="dxa"/>
            </w:tcMar>
          </w:tcPr>
          <w:p w14:paraId="2045B2EA" w14:textId="77777777" w:rsidR="00C8156F" w:rsidRDefault="00BD1DE0">
            <w:pPr>
              <w:spacing w:before="60" w:after="60" w:line="240" w:lineRule="auto"/>
              <w:ind w:right="-60"/>
              <w:jc w:val="both"/>
              <w:rPr>
                <w:rFonts w:ascii="Arial" w:eastAsia="Arial" w:hAnsi="Arial" w:cs="Arial"/>
                <w:b/>
              </w:rPr>
            </w:pPr>
            <w:r>
              <w:rPr>
                <w:rFonts w:ascii="Arial" w:eastAsia="Arial" w:hAnsi="Arial" w:cs="Arial"/>
                <w:b/>
              </w:rPr>
              <w:t>100 points</w:t>
            </w:r>
          </w:p>
        </w:tc>
      </w:tr>
    </w:tbl>
    <w:p w14:paraId="2DE203A2" w14:textId="77777777" w:rsidR="00C8156F" w:rsidRDefault="00C8156F">
      <w:pPr>
        <w:keepNext/>
        <w:keepLines/>
        <w:spacing w:before="120" w:after="60" w:line="240" w:lineRule="auto"/>
        <w:jc w:val="both"/>
        <w:rPr>
          <w:color w:val="528BC8"/>
        </w:rPr>
      </w:pPr>
      <w:bookmarkStart w:id="0" w:name="_lnxbz9" w:colFirst="0" w:colLast="0"/>
      <w:bookmarkEnd w:id="0"/>
    </w:p>
    <w:p w14:paraId="52B21705" w14:textId="77777777" w:rsidR="00C8156F" w:rsidRDefault="00BD1DE0">
      <w:pPr>
        <w:keepNext/>
        <w:keepLines/>
        <w:numPr>
          <w:ilvl w:val="0"/>
          <w:numId w:val="3"/>
        </w:numPr>
        <w:spacing w:before="120" w:after="60" w:line="240" w:lineRule="auto"/>
        <w:jc w:val="both"/>
        <w:rPr>
          <w:b/>
        </w:rPr>
      </w:pPr>
      <w:bookmarkStart w:id="1" w:name="_2ynh2cbu7j0c" w:colFirst="0" w:colLast="0"/>
      <w:bookmarkEnd w:id="1"/>
      <w:r>
        <w:rPr>
          <w:b/>
        </w:rPr>
        <w:t>Méthodologie (35 points)</w:t>
      </w:r>
    </w:p>
    <w:p w14:paraId="152A0B5D" w14:textId="77777777" w:rsidR="00C8156F" w:rsidRDefault="00C8156F">
      <w:pPr>
        <w:keepNext/>
        <w:keepLines/>
        <w:spacing w:before="120" w:after="60" w:line="240" w:lineRule="auto"/>
        <w:ind w:left="720"/>
        <w:jc w:val="both"/>
        <w:rPr>
          <w:i/>
          <w:color w:val="2F5496"/>
        </w:rPr>
      </w:pPr>
      <w:bookmarkStart w:id="2" w:name="_62fjg82u6etg" w:colFirst="0" w:colLast="0"/>
      <w:bookmarkEnd w:id="2"/>
    </w:p>
    <w:p w14:paraId="09029B85" w14:textId="77777777" w:rsidR="00C8156F" w:rsidRDefault="00BD1DE0">
      <w:pPr>
        <w:numPr>
          <w:ilvl w:val="0"/>
          <w:numId w:val="4"/>
        </w:numPr>
      </w:pPr>
      <w:r>
        <w:t>Brève description de l’organisation, y compris l’année et le pays de constitution en société, et les types d’activités menées, la capacité organisationnelle générale susceptible d’affecter l’exécution du contrat : structure de gestion, stabilité financière</w:t>
      </w:r>
      <w:r>
        <w:t xml:space="preserve"> et capacité de financement de Bureaux, contrôles de gestion de projets et pertinence des connaissances spécialisées et expérience du soumissionnaire dans le cadre de missions similaires dans cette région/ce pays (10 points)</w:t>
      </w:r>
    </w:p>
    <w:p w14:paraId="441501A7" w14:textId="77777777" w:rsidR="00C8156F" w:rsidRDefault="00C8156F">
      <w:pPr>
        <w:ind w:left="720"/>
      </w:pPr>
    </w:p>
    <w:p w14:paraId="74ED3051" w14:textId="77777777" w:rsidR="00C8156F" w:rsidRDefault="00BD1DE0">
      <w:pPr>
        <w:numPr>
          <w:ilvl w:val="0"/>
          <w:numId w:val="4"/>
        </w:numPr>
      </w:pPr>
      <w:r>
        <w:t>Procédures d’assurance de la q</w:t>
      </w:r>
      <w:r>
        <w:t xml:space="preserve">ualité et mesures d’atténuation des risques et l'engagement de l’organisation en faveur de la durabilité : Le soumissionnaire doit démontrer qu’il s’engage à intégrer la durabilité (sociale, économique et environnementale) à ses propres </w:t>
      </w:r>
      <w:proofErr w:type="gramStart"/>
      <w:r>
        <w:t>activités;</w:t>
      </w:r>
      <w:proofErr w:type="gramEnd"/>
      <w:r>
        <w:t xml:space="preserve"> Le soumi</w:t>
      </w:r>
      <w:r>
        <w:t>ssionnaire doit élaborer un plan concret pour l’adoption de pratiques durables dans l’exécution du contrat. Proposition d’améliorations. (10 points)</w:t>
      </w:r>
    </w:p>
    <w:p w14:paraId="4A638CA9" w14:textId="77777777" w:rsidR="00C8156F" w:rsidRDefault="00C8156F"/>
    <w:p w14:paraId="68180556" w14:textId="77777777" w:rsidR="00C8156F" w:rsidRDefault="00BD1DE0">
      <w:pPr>
        <w:numPr>
          <w:ilvl w:val="0"/>
          <w:numId w:val="8"/>
        </w:numPr>
      </w:pPr>
      <w:r>
        <w:t>Bien saisir le besoin : (15 points)</w:t>
      </w:r>
    </w:p>
    <w:p w14:paraId="7C919B31" w14:textId="77777777" w:rsidR="00C8156F" w:rsidRDefault="00BD1DE0">
      <w:pPr>
        <w:numPr>
          <w:ilvl w:val="1"/>
          <w:numId w:val="8"/>
        </w:numPr>
      </w:pPr>
      <w:r>
        <w:t xml:space="preserve">Est-ce que les aspects importants de la tâche ont été abordés de manière suffisamment détaillée ? Est-ce que l’importance relative des différentes composantes du projet a été correctement jugée ?  </w:t>
      </w:r>
    </w:p>
    <w:p w14:paraId="78FB96AA" w14:textId="77777777" w:rsidR="00C8156F" w:rsidRDefault="00BD1DE0">
      <w:pPr>
        <w:numPr>
          <w:ilvl w:val="1"/>
          <w:numId w:val="8"/>
        </w:numPr>
      </w:pPr>
      <w:r>
        <w:t>La description de l’approche et la méthodologie du soumiss</w:t>
      </w:r>
      <w:r>
        <w:t>ionnaire pour satisfaire ou dépasser les exigences établies dans les termes de référence, les détails sur l'organisation, le contrôle et la prestation des différents éléments de services, le mode de communication proposé entre UNOPS et le consultant, la st</w:t>
      </w:r>
      <w:r>
        <w:t>ratégie de communication proposée pour la Gestion des litiges, la fréquence et le rapportage sur l’évolution des chantiers au Maître d’ouvrage.</w:t>
      </w:r>
    </w:p>
    <w:p w14:paraId="66CFFF4D" w14:textId="77777777" w:rsidR="00C8156F" w:rsidRDefault="00BD1DE0">
      <w:pPr>
        <w:numPr>
          <w:ilvl w:val="1"/>
          <w:numId w:val="8"/>
        </w:numPr>
      </w:pPr>
      <w:r>
        <w:t>Adéquation des ressources (technique et logistique) avec la méthodologie</w:t>
      </w:r>
    </w:p>
    <w:p w14:paraId="54821D70" w14:textId="77777777" w:rsidR="00C8156F" w:rsidRDefault="00BD1DE0">
      <w:pPr>
        <w:numPr>
          <w:ilvl w:val="1"/>
          <w:numId w:val="8"/>
        </w:numPr>
      </w:pPr>
      <w:r>
        <w:t xml:space="preserve">Adéquation entre la méthodologie et le </w:t>
      </w:r>
      <w:r>
        <w:t>planning proposé</w:t>
      </w:r>
    </w:p>
    <w:p w14:paraId="1EB0442E" w14:textId="77777777" w:rsidR="00C8156F" w:rsidRDefault="00BD1DE0">
      <w:pPr>
        <w:numPr>
          <w:ilvl w:val="1"/>
          <w:numId w:val="8"/>
        </w:numPr>
      </w:pPr>
      <w:r>
        <w:t>Chronogramme en adéquation avec les délais du projet</w:t>
      </w:r>
    </w:p>
    <w:p w14:paraId="6B34612A" w14:textId="77777777" w:rsidR="00C8156F" w:rsidRDefault="00BD1DE0">
      <w:pPr>
        <w:numPr>
          <w:ilvl w:val="1"/>
          <w:numId w:val="8"/>
        </w:numPr>
      </w:pPr>
      <w:r>
        <w:t>Adéquation du planning d’intervention des experts et du plan de travail préconisé</w:t>
      </w:r>
    </w:p>
    <w:p w14:paraId="53807AE6" w14:textId="77777777" w:rsidR="00C8156F" w:rsidRDefault="00C8156F">
      <w:bookmarkStart w:id="3" w:name="_vs89qml1cppa" w:colFirst="0" w:colLast="0"/>
      <w:bookmarkEnd w:id="3"/>
    </w:p>
    <w:p w14:paraId="02F7A01A" w14:textId="77777777" w:rsidR="00C8156F" w:rsidRDefault="00C8156F">
      <w:pPr>
        <w:keepNext/>
        <w:keepLines/>
        <w:spacing w:before="120" w:after="60" w:line="240" w:lineRule="auto"/>
        <w:jc w:val="both"/>
      </w:pPr>
      <w:bookmarkStart w:id="4" w:name="_fnnykhilwb6c" w:colFirst="0" w:colLast="0"/>
      <w:bookmarkEnd w:id="4"/>
    </w:p>
    <w:p w14:paraId="70C5B10D" w14:textId="77777777" w:rsidR="00C8156F" w:rsidRDefault="00BD1DE0">
      <w:pPr>
        <w:keepNext/>
        <w:keepLines/>
        <w:numPr>
          <w:ilvl w:val="0"/>
          <w:numId w:val="3"/>
        </w:numPr>
        <w:spacing w:before="120" w:after="60" w:line="240" w:lineRule="auto"/>
        <w:jc w:val="both"/>
        <w:rPr>
          <w:b/>
        </w:rPr>
      </w:pPr>
      <w:bookmarkStart w:id="5" w:name="_o4gdu9p50uw9" w:colFirst="0" w:colLast="0"/>
      <w:bookmarkEnd w:id="5"/>
      <w:r>
        <w:rPr>
          <w:b/>
        </w:rPr>
        <w:t>Expériences et références du Bureau (35 points)</w:t>
      </w:r>
    </w:p>
    <w:p w14:paraId="6B2634FC" w14:textId="77777777" w:rsidR="00C8156F" w:rsidRDefault="00C8156F">
      <w:pPr>
        <w:keepNext/>
        <w:keepLines/>
        <w:spacing w:before="120" w:after="60" w:line="240" w:lineRule="auto"/>
        <w:ind w:left="720"/>
        <w:jc w:val="both"/>
      </w:pPr>
      <w:bookmarkStart w:id="6" w:name="_augmpnh62c8e" w:colFirst="0" w:colLast="0"/>
      <w:bookmarkEnd w:id="6"/>
    </w:p>
    <w:p w14:paraId="33CBA2A8" w14:textId="77777777" w:rsidR="00C8156F" w:rsidRDefault="00BD1DE0">
      <w:pPr>
        <w:numPr>
          <w:ilvl w:val="0"/>
          <w:numId w:val="1"/>
        </w:numPr>
        <w:spacing w:before="120" w:line="240" w:lineRule="auto"/>
        <w:ind w:left="360"/>
        <w:jc w:val="both"/>
      </w:pPr>
      <w:r>
        <w:t>Le bureau devra avoir effectué au moins 3 études dans les 5 dernières années dans le domaine de l’électrification par panneaux solaires dans des milieux similaires (zones rurales de l’Afrique sahélienne préférablement).</w:t>
      </w:r>
    </w:p>
    <w:p w14:paraId="262BCB4B" w14:textId="77777777" w:rsidR="00C8156F" w:rsidRDefault="00BD1DE0">
      <w:pPr>
        <w:numPr>
          <w:ilvl w:val="0"/>
          <w:numId w:val="1"/>
        </w:numPr>
        <w:spacing w:line="240" w:lineRule="auto"/>
        <w:ind w:left="360"/>
        <w:jc w:val="both"/>
      </w:pPr>
      <w:r>
        <w:t>Devra avoir effectué le même genre d</w:t>
      </w:r>
      <w:r>
        <w:t xml:space="preserve">’études dans au moins un des trois pays du </w:t>
      </w:r>
      <w:proofErr w:type="spellStart"/>
      <w:r>
        <w:t>Liptako</w:t>
      </w:r>
      <w:proofErr w:type="spellEnd"/>
      <w:r>
        <w:t xml:space="preserve"> Gourma.</w:t>
      </w:r>
    </w:p>
    <w:p w14:paraId="7922C1ED" w14:textId="77777777" w:rsidR="00C8156F" w:rsidRDefault="00BD1DE0">
      <w:pPr>
        <w:numPr>
          <w:ilvl w:val="0"/>
          <w:numId w:val="1"/>
        </w:numPr>
        <w:spacing w:line="248" w:lineRule="auto"/>
        <w:ind w:left="360" w:right="3"/>
        <w:jc w:val="both"/>
      </w:pPr>
      <w:r>
        <w:t xml:space="preserve">Démontrer sa maîtrise de la réglementation et du marché de l’énergie dans les régions du </w:t>
      </w:r>
      <w:proofErr w:type="spellStart"/>
      <w:r>
        <w:t>Liptako</w:t>
      </w:r>
      <w:proofErr w:type="spellEnd"/>
      <w:r>
        <w:t xml:space="preserve"> Gourma.</w:t>
      </w:r>
    </w:p>
    <w:p w14:paraId="45769E74" w14:textId="77777777" w:rsidR="00C8156F" w:rsidRDefault="00BD1DE0">
      <w:pPr>
        <w:numPr>
          <w:ilvl w:val="0"/>
          <w:numId w:val="1"/>
        </w:numPr>
        <w:spacing w:line="248" w:lineRule="auto"/>
        <w:ind w:left="360" w:right="3"/>
        <w:jc w:val="both"/>
      </w:pPr>
      <w:r>
        <w:t xml:space="preserve">Démontrer son aisance et capacité de travailler dans le </w:t>
      </w:r>
      <w:proofErr w:type="spellStart"/>
      <w:r>
        <w:t>Liptako</w:t>
      </w:r>
      <w:proofErr w:type="spellEnd"/>
      <w:r>
        <w:t>-Gourma.</w:t>
      </w:r>
    </w:p>
    <w:p w14:paraId="72A99DA2" w14:textId="77777777" w:rsidR="00C8156F" w:rsidRDefault="00BD1DE0">
      <w:pPr>
        <w:numPr>
          <w:ilvl w:val="0"/>
          <w:numId w:val="1"/>
        </w:numPr>
        <w:spacing w:after="109" w:line="248" w:lineRule="auto"/>
        <w:ind w:left="360" w:right="3"/>
        <w:jc w:val="both"/>
      </w:pPr>
      <w:r>
        <w:t xml:space="preserve">Autres </w:t>
      </w:r>
    </w:p>
    <w:p w14:paraId="7011335B" w14:textId="77777777" w:rsidR="00C8156F" w:rsidRDefault="00C8156F">
      <w:pPr>
        <w:widowControl w:val="0"/>
        <w:spacing w:before="60" w:after="60" w:line="240" w:lineRule="auto"/>
        <w:ind w:left="720"/>
        <w:jc w:val="both"/>
      </w:pPr>
    </w:p>
    <w:p w14:paraId="5EEC0C4A" w14:textId="77777777" w:rsidR="00C8156F" w:rsidRDefault="00BD1DE0">
      <w:pPr>
        <w:keepNext/>
        <w:keepLines/>
        <w:numPr>
          <w:ilvl w:val="0"/>
          <w:numId w:val="3"/>
        </w:numPr>
        <w:spacing w:before="120" w:after="60" w:line="240" w:lineRule="auto"/>
        <w:jc w:val="both"/>
      </w:pPr>
      <w:bookmarkStart w:id="7" w:name="_1ksv4uv" w:colFirst="0" w:colLast="0"/>
      <w:bookmarkEnd w:id="7"/>
      <w:r>
        <w:rPr>
          <w:b/>
        </w:rPr>
        <w:t xml:space="preserve">Qualifications et références du personnel proposé (30 points) </w:t>
      </w:r>
      <w:r>
        <w:t xml:space="preserve"> </w:t>
      </w:r>
      <w:r>
        <w:rPr>
          <w:i/>
          <w:color w:val="2F5496"/>
        </w:rPr>
        <w:t xml:space="preserve"> </w:t>
      </w:r>
      <w:r>
        <w:rPr>
          <w:i/>
          <w:color w:val="528BC8"/>
        </w:rPr>
        <w:t xml:space="preserve">                                              </w:t>
      </w:r>
      <w:r>
        <w:rPr>
          <w:b/>
          <w:i/>
          <w:color w:val="2F5496"/>
        </w:rPr>
        <w:t xml:space="preserve"> </w:t>
      </w:r>
    </w:p>
    <w:p w14:paraId="20A051D2" w14:textId="77777777" w:rsidR="00C8156F" w:rsidRDefault="00C8156F">
      <w:pPr>
        <w:spacing w:before="120" w:after="120" w:line="240" w:lineRule="auto"/>
        <w:jc w:val="both"/>
      </w:pPr>
    </w:p>
    <w:p w14:paraId="416F9E16" w14:textId="77777777" w:rsidR="00C8156F" w:rsidRDefault="00BD1DE0">
      <w:pPr>
        <w:spacing w:before="120" w:after="120" w:line="240" w:lineRule="auto"/>
        <w:jc w:val="both"/>
      </w:pPr>
      <w:r>
        <w:t xml:space="preserve">Cette note </w:t>
      </w:r>
      <w:proofErr w:type="gramStart"/>
      <w:r>
        <w:t>sera  attribuée</w:t>
      </w:r>
      <w:proofErr w:type="gramEnd"/>
      <w:r>
        <w:t xml:space="preserve">  en tenant compte des  qualifications,  de la  compétence et de l’expérience du personnel proposé et répartie comme </w:t>
      </w:r>
      <w:r>
        <w:t>suit :</w:t>
      </w:r>
    </w:p>
    <w:p w14:paraId="72107FB1" w14:textId="77777777" w:rsidR="00C8156F" w:rsidRDefault="00BD1DE0">
      <w:pPr>
        <w:numPr>
          <w:ilvl w:val="0"/>
          <w:numId w:val="6"/>
        </w:numPr>
        <w:spacing w:before="240" w:line="240" w:lineRule="auto"/>
        <w:jc w:val="both"/>
        <w:rPr>
          <w:rFonts w:ascii="Arial Narrow" w:eastAsia="Arial Narrow" w:hAnsi="Arial Narrow" w:cs="Arial Narrow"/>
        </w:rPr>
      </w:pPr>
      <w:r>
        <w:rPr>
          <w:b/>
        </w:rPr>
        <w:t>Chef de projet</w:t>
      </w:r>
      <w:r>
        <w:t xml:space="preserve"> - Ingénieur, économiste, spécialiste social ou financier avec un minimum de dix (10) ans d'expérience pertinente et une connaissance des systèmes de distribution ruraux et de la production d'énergie renouvelable. Le fait d'avoir été c</w:t>
      </w:r>
      <w:r>
        <w:t xml:space="preserve">hef d'équipe / chef de projet sur d'autres études de faisabilité détaillées de types de projets similaires serait important. Expérience en électrification rurale en Afrique, au moins cinq projets similaires serait un avantage. Un </w:t>
      </w:r>
      <w:proofErr w:type="spellStart"/>
      <w:r>
        <w:t>MSc</w:t>
      </w:r>
      <w:proofErr w:type="spellEnd"/>
      <w:r>
        <w:t>, MBA ou un diplôme sup</w:t>
      </w:r>
      <w:r>
        <w:t>érieur pertinent est recommandé (5 points)</w:t>
      </w:r>
    </w:p>
    <w:p w14:paraId="7DFF9100" w14:textId="77777777" w:rsidR="00C8156F" w:rsidRDefault="00BD1DE0">
      <w:pPr>
        <w:numPr>
          <w:ilvl w:val="0"/>
          <w:numId w:val="6"/>
        </w:numPr>
        <w:spacing w:line="240" w:lineRule="auto"/>
        <w:jc w:val="both"/>
        <w:rPr>
          <w:rFonts w:ascii="Arial Narrow" w:eastAsia="Arial Narrow" w:hAnsi="Arial Narrow" w:cs="Arial Narrow"/>
        </w:rPr>
      </w:pPr>
      <w:r>
        <w:rPr>
          <w:b/>
        </w:rPr>
        <w:t>Responsable de la centrale énergétique</w:t>
      </w:r>
      <w:r>
        <w:t xml:space="preserve"> - Ingénieur avec au moins dix (10) ans d'expérience pertinente, avec une expertise dans les systèmes de production renouvelables hybrides, en particulier les systèmes solaire</w:t>
      </w:r>
      <w:r>
        <w:t xml:space="preserve">s photovoltaïques hybrides avec des batteries de stockage et des générateurs. L'ingénieur doit être inscrit auprès d'un organisme professionnel d'ingénierie reconnu et posséder un minimum de </w:t>
      </w:r>
      <w:proofErr w:type="spellStart"/>
      <w:r>
        <w:t>BSc</w:t>
      </w:r>
      <w:proofErr w:type="spellEnd"/>
      <w:r>
        <w:t xml:space="preserve"> (Engineering) en électricité ou dans un domaine connexe. (5 p</w:t>
      </w:r>
      <w:r>
        <w:t>oints)</w:t>
      </w:r>
    </w:p>
    <w:p w14:paraId="506A95D3" w14:textId="77777777" w:rsidR="00C8156F" w:rsidRDefault="00BD1DE0">
      <w:pPr>
        <w:numPr>
          <w:ilvl w:val="0"/>
          <w:numId w:val="6"/>
        </w:numPr>
        <w:spacing w:line="240" w:lineRule="auto"/>
        <w:jc w:val="both"/>
        <w:rPr>
          <w:rFonts w:ascii="Arial Narrow" w:eastAsia="Arial Narrow" w:hAnsi="Arial Narrow" w:cs="Arial Narrow"/>
        </w:rPr>
      </w:pPr>
      <w:r>
        <w:rPr>
          <w:b/>
        </w:rPr>
        <w:t>Responsable des systèmes de distribution</w:t>
      </w:r>
      <w:r>
        <w:t xml:space="preserve"> - Ingénieur ayant au moins sept (7) ans d'expérience pertinente, avec une expertise dans la conception et le calcul des coûts des systèmes de distribution ruraux, et une connaissance des systèmes de productio</w:t>
      </w:r>
      <w:r>
        <w:t xml:space="preserve">n renouvelable, en particulier la production solaire avec stockage. L'ingénieur doit être inscrit auprès d'un organisme professionnel d'ingénierie reconnu et posséder un minimum de </w:t>
      </w:r>
      <w:proofErr w:type="spellStart"/>
      <w:r>
        <w:t>BSc</w:t>
      </w:r>
      <w:proofErr w:type="spellEnd"/>
      <w:r>
        <w:t xml:space="preserve"> (Engineering) en électricité ou dans un domaine connexe. (5 points)</w:t>
      </w:r>
    </w:p>
    <w:p w14:paraId="24029DFD" w14:textId="77777777" w:rsidR="00C8156F" w:rsidRDefault="00BD1DE0">
      <w:pPr>
        <w:numPr>
          <w:ilvl w:val="0"/>
          <w:numId w:val="6"/>
        </w:numPr>
        <w:spacing w:line="240" w:lineRule="auto"/>
        <w:jc w:val="both"/>
        <w:rPr>
          <w:rFonts w:ascii="Arial Narrow" w:eastAsia="Arial Narrow" w:hAnsi="Arial Narrow" w:cs="Arial Narrow"/>
        </w:rPr>
      </w:pPr>
      <w:r>
        <w:rPr>
          <w:b/>
        </w:rPr>
        <w:t>Res</w:t>
      </w:r>
      <w:r>
        <w:rPr>
          <w:b/>
        </w:rPr>
        <w:t>ponsable environnemental et social</w:t>
      </w:r>
      <w:r>
        <w:t xml:space="preserve"> - Spécialiste de l'environnement et du social avec au moins cinq (5) ans d'expérience pertinente, avec une expertise dans les Études socio-économique et Études et gestion environnementale des projets d'énergie renouvelabl</w:t>
      </w:r>
      <w:r>
        <w:t>e en Afrique, idéalement l'électrification rurale. (5 points)</w:t>
      </w:r>
    </w:p>
    <w:p w14:paraId="1373C0B0" w14:textId="77777777" w:rsidR="00C8156F" w:rsidRDefault="00BD1DE0">
      <w:pPr>
        <w:numPr>
          <w:ilvl w:val="0"/>
          <w:numId w:val="6"/>
        </w:numPr>
        <w:spacing w:line="240" w:lineRule="auto"/>
        <w:jc w:val="both"/>
        <w:rPr>
          <w:rFonts w:ascii="Arial Narrow" w:eastAsia="Arial Narrow" w:hAnsi="Arial Narrow" w:cs="Arial Narrow"/>
        </w:rPr>
      </w:pPr>
      <w:r>
        <w:rPr>
          <w:b/>
        </w:rPr>
        <w:t>Responsable de l'évaluation du site</w:t>
      </w:r>
      <w:r>
        <w:t xml:space="preserve"> - Spécialiste de l'arpentage ayant au moins cinq (5) ans d'expérience pertinente, avec une expertise dans la conduite de campagnes d'arpentage en Afrique rura</w:t>
      </w:r>
      <w:r>
        <w:t>le, idéalement pour des projets d'électrification rurale. (5 points)</w:t>
      </w:r>
    </w:p>
    <w:p w14:paraId="5AB3E83E" w14:textId="77777777" w:rsidR="00C8156F" w:rsidRDefault="00BD1DE0">
      <w:pPr>
        <w:numPr>
          <w:ilvl w:val="0"/>
          <w:numId w:val="6"/>
        </w:numPr>
        <w:spacing w:after="240" w:line="240" w:lineRule="auto"/>
        <w:jc w:val="both"/>
        <w:rPr>
          <w:rFonts w:ascii="Arial Narrow" w:eastAsia="Arial Narrow" w:hAnsi="Arial Narrow" w:cs="Arial Narrow"/>
        </w:rPr>
      </w:pPr>
      <w:r>
        <w:rPr>
          <w:b/>
        </w:rPr>
        <w:t>Spécialiste financier</w:t>
      </w:r>
      <w:r>
        <w:t xml:space="preserve"> - Spécialiste financier ayant au moins cinq (5) ans d'expérience pertinente, avec une expertise en analyse économique et financière, y compris la création de modèles</w:t>
      </w:r>
      <w:r>
        <w:t xml:space="preserve"> financiers. Un CFA, un MBA ou tout autre diplôme supérieur pertinent est recommandé.  De l’expérience dans le développement de systèmes ou de modèles financiers autour de la production et la distribution de l’électricité rurale est un atout. (5 points)</w:t>
      </w:r>
    </w:p>
    <w:p w14:paraId="42E1773A" w14:textId="77777777" w:rsidR="00C8156F" w:rsidRDefault="00C8156F">
      <w:pPr>
        <w:keepNext/>
        <w:keepLines/>
        <w:spacing w:before="120" w:after="60" w:line="240" w:lineRule="auto"/>
        <w:ind w:left="2880" w:firstLine="2880"/>
        <w:jc w:val="both"/>
        <w:rPr>
          <w:b/>
          <w:i/>
          <w:highlight w:val="lightGray"/>
          <w:u w:val="single"/>
        </w:rPr>
      </w:pPr>
      <w:bookmarkStart w:id="8" w:name="_h3ea792n6ho5" w:colFirst="0" w:colLast="0"/>
      <w:bookmarkEnd w:id="8"/>
    </w:p>
    <w:p w14:paraId="5EA7CAB4" w14:textId="77777777" w:rsidR="00C8156F" w:rsidRDefault="00BD1DE0">
      <w:pPr>
        <w:numPr>
          <w:ilvl w:val="1"/>
          <w:numId w:val="7"/>
        </w:numPr>
        <w:spacing w:line="240" w:lineRule="auto"/>
        <w:ind w:left="270" w:firstLine="0"/>
        <w:jc w:val="both"/>
      </w:pPr>
      <w:r>
        <w:rPr>
          <w:b/>
          <w:u w:val="single"/>
        </w:rPr>
        <w:t>Critères d’évaluation financière</w:t>
      </w:r>
    </w:p>
    <w:p w14:paraId="6618450A" w14:textId="77777777" w:rsidR="00C8156F" w:rsidRDefault="00C8156F">
      <w:pPr>
        <w:spacing w:line="240" w:lineRule="auto"/>
        <w:ind w:left="270"/>
        <w:jc w:val="both"/>
        <w:rPr>
          <w:b/>
          <w:i/>
          <w:highlight w:val="lightGray"/>
        </w:rPr>
      </w:pPr>
    </w:p>
    <w:p w14:paraId="4C1D6ED1" w14:textId="77777777" w:rsidR="00C8156F" w:rsidRDefault="00BD1DE0">
      <w:pPr>
        <w:widowControl w:val="0"/>
        <w:spacing w:before="120" w:after="120" w:line="240" w:lineRule="auto"/>
        <w:jc w:val="both"/>
      </w:pPr>
      <w:r>
        <w:t>Seules les propositions financières des propositions techniquement conformes seront évaluées conformément à la méthode d'évaluation décrite plus haut.</w:t>
      </w:r>
    </w:p>
    <w:sectPr w:rsidR="00C8156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A5E48"/>
    <w:multiLevelType w:val="multilevel"/>
    <w:tmpl w:val="9914FB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6B676C6"/>
    <w:multiLevelType w:val="multilevel"/>
    <w:tmpl w:val="BA9CA6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7B26FE"/>
    <w:multiLevelType w:val="multilevel"/>
    <w:tmpl w:val="4A7CD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483CC5"/>
    <w:multiLevelType w:val="multilevel"/>
    <w:tmpl w:val="0E0C4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3A2F35"/>
    <w:multiLevelType w:val="multilevel"/>
    <w:tmpl w:val="9FBED1D0"/>
    <w:lvl w:ilvl="0">
      <w:start w:val="1"/>
      <w:numFmt w:val="decimal"/>
      <w:lvlText w:val="%1."/>
      <w:lvlJc w:val="left"/>
      <w:pPr>
        <w:ind w:left="360" w:hanging="360"/>
      </w:pPr>
      <w:rPr>
        <w:rFonts w:ascii="Arial" w:eastAsia="Arial" w:hAnsi="Arial" w:cs="Arial"/>
        <w:b/>
        <w:sz w:val="22"/>
        <w:szCs w:val="22"/>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333E0AA7"/>
    <w:multiLevelType w:val="multilevel"/>
    <w:tmpl w:val="988A8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72D0735"/>
    <w:multiLevelType w:val="multilevel"/>
    <w:tmpl w:val="5B8A256C"/>
    <w:lvl w:ilvl="0">
      <w:start w:val="33"/>
      <w:numFmt w:val="decimal"/>
      <w:lvlText w:val="%1."/>
      <w:lvlJc w:val="left"/>
      <w:pPr>
        <w:ind w:left="720" w:hanging="360"/>
      </w:pPr>
    </w:lvl>
    <w:lvl w:ilvl="1">
      <w:start w:val="1"/>
      <w:numFmt w:val="decimal"/>
      <w:lvlText w:val="%1.%2."/>
      <w:lvlJc w:val="left"/>
      <w:pPr>
        <w:ind w:left="1004" w:hanging="720"/>
      </w:pPr>
      <w:rPr>
        <w:rFonts w:ascii="Arial" w:eastAsia="Arial" w:hAnsi="Arial" w:cs="Arial"/>
        <w:b/>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7" w15:restartNumberingAfterBreak="0">
    <w:nsid w:val="6BD17D7E"/>
    <w:multiLevelType w:val="multilevel"/>
    <w:tmpl w:val="472CC8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4"/>
  </w:num>
  <w:num w:numId="3">
    <w:abstractNumId w:val="7"/>
  </w:num>
  <w:num w:numId="4">
    <w:abstractNumId w:val="5"/>
  </w:num>
  <w:num w:numId="5">
    <w:abstractNumId w:val="1"/>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56F"/>
    <w:rsid w:val="00BD1DE0"/>
    <w:rsid w:val="00C81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3788A"/>
  <w15:docId w15:val="{C82D7885-ED68-4953-B221-2E9D0997C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rPr>
      <w:rFonts w:ascii="Calibri" w:eastAsia="Calibri" w:hAnsi="Calibri" w:cs="Calibri"/>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2035</Words>
  <Characters>11600</Characters>
  <Application>Microsoft Office Word</Application>
  <DocSecurity>0</DocSecurity>
  <Lines>96</Lines>
  <Paragraphs>27</Paragraphs>
  <ScaleCrop>false</ScaleCrop>
  <Company/>
  <LinksUpToDate>false</LinksUpToDate>
  <CharactersWithSpaces>13608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Boureima Timbo</dc:creator>
  <cp:lastModifiedBy>Boureima Timbo</cp:lastModifiedBy>
  <cp:revision>2</cp:revision>
  <dcterms:created xsi:type="dcterms:W3CDTF">2021-09-07T13:07:00Z</dcterms:created>
  <dcterms:modified xsi:type="dcterms:W3CDTF">2021-09-07T13:07:00Z</dcterms:modified>
</cp:coreProperties>
</file>