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14DCC" w14:textId="77777777" w:rsidR="00D40306" w:rsidRDefault="00D40306" w:rsidP="00D40306">
      <w:pPr>
        <w:pStyle w:val="Default"/>
      </w:pPr>
    </w:p>
    <w:p w14:paraId="77126372" w14:textId="218A73F4" w:rsidR="00D40306" w:rsidRDefault="00D40306" w:rsidP="00D40306">
      <w:pPr>
        <w:pStyle w:val="Default"/>
        <w:jc w:val="center"/>
        <w:rPr>
          <w:sz w:val="28"/>
          <w:szCs w:val="28"/>
        </w:rPr>
      </w:pPr>
      <w:r>
        <w:rPr>
          <w:b/>
          <w:bCs/>
          <w:sz w:val="28"/>
          <w:szCs w:val="28"/>
        </w:rPr>
        <w:t>Clarification Note (Q&amp;A - Round 1)</w:t>
      </w:r>
    </w:p>
    <w:p w14:paraId="04A09C4D" w14:textId="77777777" w:rsidR="00D40306" w:rsidRDefault="00D40306" w:rsidP="00D40306">
      <w:pPr>
        <w:pStyle w:val="Default"/>
        <w:jc w:val="center"/>
        <w:rPr>
          <w:b/>
          <w:bCs/>
          <w:sz w:val="28"/>
          <w:szCs w:val="28"/>
        </w:rPr>
      </w:pPr>
      <w:r w:rsidRPr="00D40306">
        <w:rPr>
          <w:b/>
          <w:bCs/>
          <w:sz w:val="28"/>
          <w:szCs w:val="28"/>
        </w:rPr>
        <w:t xml:space="preserve">RFPS-NYH-2021- 503380 </w:t>
      </w:r>
    </w:p>
    <w:p w14:paraId="157C8D67" w14:textId="50FF59A4" w:rsidR="00D40306" w:rsidRDefault="00D40306" w:rsidP="00D40306">
      <w:pPr>
        <w:pStyle w:val="Default"/>
        <w:jc w:val="center"/>
        <w:rPr>
          <w:b/>
          <w:bCs/>
          <w:sz w:val="28"/>
          <w:szCs w:val="28"/>
        </w:rPr>
      </w:pPr>
      <w:r w:rsidRPr="00D40306">
        <w:rPr>
          <w:b/>
          <w:bCs/>
          <w:sz w:val="28"/>
          <w:szCs w:val="28"/>
        </w:rPr>
        <w:t>L</w:t>
      </w:r>
      <w:r>
        <w:rPr>
          <w:b/>
          <w:bCs/>
          <w:sz w:val="28"/>
          <w:szCs w:val="28"/>
        </w:rPr>
        <w:t>ong-</w:t>
      </w:r>
      <w:r w:rsidRPr="00D40306">
        <w:rPr>
          <w:b/>
          <w:bCs/>
          <w:sz w:val="28"/>
          <w:szCs w:val="28"/>
        </w:rPr>
        <w:t>T</w:t>
      </w:r>
      <w:r>
        <w:rPr>
          <w:b/>
          <w:bCs/>
          <w:sz w:val="28"/>
          <w:szCs w:val="28"/>
        </w:rPr>
        <w:t xml:space="preserve">erm </w:t>
      </w:r>
      <w:r w:rsidRPr="00D40306">
        <w:rPr>
          <w:b/>
          <w:bCs/>
          <w:sz w:val="28"/>
          <w:szCs w:val="28"/>
        </w:rPr>
        <w:t>A</w:t>
      </w:r>
      <w:r>
        <w:rPr>
          <w:b/>
          <w:bCs/>
          <w:sz w:val="28"/>
          <w:szCs w:val="28"/>
        </w:rPr>
        <w:t>rrangement</w:t>
      </w:r>
      <w:r w:rsidRPr="00D40306">
        <w:rPr>
          <w:b/>
          <w:bCs/>
          <w:sz w:val="28"/>
          <w:szCs w:val="28"/>
        </w:rPr>
        <w:t xml:space="preserve"> for Solar PV Systems at UNICEF Facilities</w:t>
      </w:r>
    </w:p>
    <w:p w14:paraId="6F1ECBEE" w14:textId="77777777" w:rsidR="00D40306" w:rsidRDefault="00D40306" w:rsidP="00D40306">
      <w:pPr>
        <w:pStyle w:val="Default"/>
        <w:jc w:val="center"/>
        <w:rPr>
          <w:sz w:val="28"/>
          <w:szCs w:val="28"/>
        </w:rPr>
      </w:pPr>
    </w:p>
    <w:p w14:paraId="60E1114B" w14:textId="72BA1508" w:rsidR="002747AF" w:rsidRDefault="00D40306" w:rsidP="00D40306">
      <w:pPr>
        <w:spacing w:line="240" w:lineRule="auto"/>
        <w:ind w:left="-810"/>
        <w:contextualSpacing/>
      </w:pPr>
      <w:r>
        <w:t>Following questions were received from bidders which were responded by UNICEF technical and/or Supply Division team accordingly:</w:t>
      </w:r>
    </w:p>
    <w:p w14:paraId="67C5C2DF" w14:textId="77777777" w:rsidR="00D40306" w:rsidRPr="003107D6" w:rsidRDefault="00D40306" w:rsidP="00D40306">
      <w:pPr>
        <w:spacing w:line="240" w:lineRule="auto"/>
        <w:ind w:left="-810"/>
        <w:contextualSpacing/>
        <w:rPr>
          <w:rFonts w:cstheme="minorHAnsi"/>
          <w:b/>
          <w:sz w:val="10"/>
          <w:szCs w:val="10"/>
        </w:rPr>
      </w:pPr>
    </w:p>
    <w:tbl>
      <w:tblPr>
        <w:tblStyle w:val="TableGrid"/>
        <w:tblW w:w="10999" w:type="dxa"/>
        <w:tblInd w:w="-815" w:type="dxa"/>
        <w:tblLook w:val="04A0" w:firstRow="1" w:lastRow="0" w:firstColumn="1" w:lastColumn="0" w:noHBand="0" w:noVBand="1"/>
      </w:tblPr>
      <w:tblGrid>
        <w:gridCol w:w="560"/>
        <w:gridCol w:w="4780"/>
        <w:gridCol w:w="5659"/>
      </w:tblGrid>
      <w:tr w:rsidR="00651365" w:rsidRPr="00073DA0" w14:paraId="2C2697A9" w14:textId="77777777" w:rsidTr="00D40306">
        <w:tc>
          <w:tcPr>
            <w:tcW w:w="560" w:type="dxa"/>
          </w:tcPr>
          <w:p w14:paraId="0D82DA88" w14:textId="77777777" w:rsidR="00651365" w:rsidRPr="00073DA0" w:rsidRDefault="00651365" w:rsidP="005E70D4">
            <w:pPr>
              <w:jc w:val="center"/>
              <w:rPr>
                <w:rFonts w:cstheme="minorHAnsi"/>
                <w:b/>
                <w:bCs/>
              </w:rPr>
            </w:pPr>
            <w:bookmarkStart w:id="0" w:name="_Hlk69382148"/>
            <w:r w:rsidRPr="00073DA0">
              <w:rPr>
                <w:rFonts w:cstheme="minorHAnsi"/>
                <w:b/>
                <w:bCs/>
              </w:rPr>
              <w:t>S/N</w:t>
            </w:r>
          </w:p>
        </w:tc>
        <w:tc>
          <w:tcPr>
            <w:tcW w:w="4780" w:type="dxa"/>
          </w:tcPr>
          <w:p w14:paraId="70063DBD" w14:textId="5ADFCE80" w:rsidR="00651365" w:rsidRPr="00073DA0" w:rsidRDefault="00651365" w:rsidP="005E70D4">
            <w:pPr>
              <w:jc w:val="center"/>
              <w:rPr>
                <w:rFonts w:cstheme="minorHAnsi"/>
                <w:b/>
                <w:bCs/>
              </w:rPr>
            </w:pPr>
            <w:r w:rsidRPr="00073DA0">
              <w:rPr>
                <w:rFonts w:cstheme="minorHAnsi"/>
                <w:b/>
                <w:bCs/>
              </w:rPr>
              <w:t>Questions</w:t>
            </w:r>
            <w:r w:rsidR="00C53A76" w:rsidRPr="00073DA0">
              <w:rPr>
                <w:rFonts w:cstheme="minorHAnsi"/>
                <w:b/>
                <w:bCs/>
              </w:rPr>
              <w:t xml:space="preserve"> from Bidders</w:t>
            </w:r>
          </w:p>
        </w:tc>
        <w:tc>
          <w:tcPr>
            <w:tcW w:w="5659" w:type="dxa"/>
          </w:tcPr>
          <w:p w14:paraId="3A7B6D8D" w14:textId="6B9EC074" w:rsidR="00651365" w:rsidRPr="00073DA0" w:rsidRDefault="00651365" w:rsidP="005E70D4">
            <w:pPr>
              <w:jc w:val="center"/>
              <w:rPr>
                <w:rFonts w:cstheme="minorHAnsi"/>
                <w:b/>
                <w:bCs/>
              </w:rPr>
            </w:pPr>
            <w:r w:rsidRPr="00073DA0">
              <w:rPr>
                <w:rFonts w:cstheme="minorHAnsi"/>
                <w:b/>
                <w:bCs/>
              </w:rPr>
              <w:t>Answers</w:t>
            </w:r>
            <w:r w:rsidR="00C53A76" w:rsidRPr="00073DA0">
              <w:rPr>
                <w:rFonts w:cstheme="minorHAnsi"/>
                <w:b/>
                <w:bCs/>
              </w:rPr>
              <w:t xml:space="preserve"> from UNICEF</w:t>
            </w:r>
          </w:p>
        </w:tc>
      </w:tr>
      <w:tr w:rsidR="00373843" w:rsidRPr="00073DA0" w14:paraId="07A459D6" w14:textId="77777777" w:rsidTr="00D40306">
        <w:tc>
          <w:tcPr>
            <w:tcW w:w="560" w:type="dxa"/>
          </w:tcPr>
          <w:p w14:paraId="44E20F3C" w14:textId="778A0461" w:rsidR="00373843" w:rsidRPr="00373843" w:rsidRDefault="00373843" w:rsidP="005E70D4">
            <w:pPr>
              <w:jc w:val="center"/>
              <w:rPr>
                <w:rFonts w:cstheme="minorHAnsi"/>
              </w:rPr>
            </w:pPr>
            <w:r>
              <w:rPr>
                <w:rFonts w:cstheme="minorHAnsi"/>
              </w:rPr>
              <w:t>1</w:t>
            </w:r>
            <w:r w:rsidR="00D40306">
              <w:rPr>
                <w:rFonts w:cstheme="minorHAnsi"/>
              </w:rPr>
              <w:t>.</w:t>
            </w:r>
          </w:p>
        </w:tc>
        <w:tc>
          <w:tcPr>
            <w:tcW w:w="4780" w:type="dxa"/>
          </w:tcPr>
          <w:p w14:paraId="3911573C" w14:textId="77777777" w:rsidR="00FF78A9" w:rsidRPr="00F874C8" w:rsidRDefault="00FF78A9" w:rsidP="00FF78A9">
            <w:pPr>
              <w:rPr>
                <w:rFonts w:cstheme="minorHAnsi"/>
              </w:rPr>
            </w:pPr>
            <w:r w:rsidRPr="00F874C8">
              <w:rPr>
                <w:rFonts w:cstheme="minorHAnsi"/>
              </w:rPr>
              <w:t>Prices of components after awarded with LTA contract (2nd round)</w:t>
            </w:r>
          </w:p>
          <w:p w14:paraId="1509F116" w14:textId="77777777" w:rsidR="00606CC2" w:rsidRPr="00F874C8" w:rsidRDefault="00FF78A9" w:rsidP="00FF78A9">
            <w:pPr>
              <w:rPr>
                <w:rFonts w:cstheme="minorHAnsi"/>
              </w:rPr>
            </w:pPr>
            <w:r w:rsidRPr="00F874C8">
              <w:rPr>
                <w:rFonts w:cstheme="minorHAnsi"/>
              </w:rPr>
              <w:t>Annex B page 7: “(…) the agreed rate/fee stated in the LTA will be used to calculate the proposed cost for the specific task.”</w:t>
            </w:r>
          </w:p>
          <w:p w14:paraId="4B72D0BA" w14:textId="77777777" w:rsidR="000A506F" w:rsidRPr="00F874C8" w:rsidRDefault="000A506F" w:rsidP="00FF78A9">
            <w:pPr>
              <w:rPr>
                <w:rFonts w:cstheme="minorHAnsi"/>
              </w:rPr>
            </w:pPr>
          </w:p>
          <w:p w14:paraId="33AAB12C" w14:textId="77777777" w:rsidR="000A506F" w:rsidRPr="00F874C8" w:rsidRDefault="000A506F" w:rsidP="00FF78A9">
            <w:pPr>
              <w:rPr>
                <w:rFonts w:cstheme="minorHAnsi"/>
              </w:rPr>
            </w:pPr>
            <w:r w:rsidRPr="00F874C8">
              <w:rPr>
                <w:rFonts w:cstheme="minorHAnsi"/>
              </w:rPr>
              <w:t>Can you kindly clarify if after being awarded for the LTA the prices of components, installation, etc. can be adjusted accordingly with the market and on a project base?</w:t>
            </w:r>
          </w:p>
          <w:p w14:paraId="2F6F3B94" w14:textId="145FA0DB" w:rsidR="000A506F" w:rsidRPr="00F874C8" w:rsidRDefault="000A506F" w:rsidP="00FF78A9">
            <w:pPr>
              <w:rPr>
                <w:rFonts w:cstheme="minorHAnsi"/>
              </w:rPr>
            </w:pPr>
          </w:p>
        </w:tc>
        <w:tc>
          <w:tcPr>
            <w:tcW w:w="5659" w:type="dxa"/>
          </w:tcPr>
          <w:p w14:paraId="17E23F3A" w14:textId="647DB710" w:rsidR="007836EE" w:rsidRDefault="00F87236" w:rsidP="007836EE">
            <w:pPr>
              <w:rPr>
                <w:rFonts w:cstheme="minorHAnsi"/>
              </w:rPr>
            </w:pPr>
            <w:r>
              <w:rPr>
                <w:rFonts w:cstheme="minorHAnsi"/>
              </w:rPr>
              <w:t xml:space="preserve">The </w:t>
            </w:r>
            <w:r w:rsidR="001E2317">
              <w:rPr>
                <w:rFonts w:cstheme="minorHAnsi"/>
              </w:rPr>
              <w:t>Unit P</w:t>
            </w:r>
            <w:r w:rsidR="00A749E6">
              <w:rPr>
                <w:rFonts w:cstheme="minorHAnsi"/>
              </w:rPr>
              <w:t>rice</w:t>
            </w:r>
            <w:r w:rsidR="001E2317">
              <w:rPr>
                <w:rFonts w:cstheme="minorHAnsi"/>
              </w:rPr>
              <w:t>s</w:t>
            </w:r>
            <w:r w:rsidR="00A749E6">
              <w:rPr>
                <w:rFonts w:cstheme="minorHAnsi"/>
              </w:rPr>
              <w:t xml:space="preserve"> </w:t>
            </w:r>
            <w:r w:rsidR="00F713A1">
              <w:rPr>
                <w:rFonts w:cstheme="minorHAnsi"/>
              </w:rPr>
              <w:t xml:space="preserve">requested and </w:t>
            </w:r>
            <w:r w:rsidR="00A749E6">
              <w:rPr>
                <w:rFonts w:cstheme="minorHAnsi"/>
              </w:rPr>
              <w:t>proposed under Appendix 5</w:t>
            </w:r>
            <w:r w:rsidR="002E7680">
              <w:rPr>
                <w:rFonts w:cstheme="minorHAnsi"/>
              </w:rPr>
              <w:t xml:space="preserve"> </w:t>
            </w:r>
            <w:r w:rsidR="00D40306">
              <w:rPr>
                <w:rFonts w:cstheme="minorHAnsi"/>
              </w:rPr>
              <w:t>-</w:t>
            </w:r>
            <w:r w:rsidR="002E7680">
              <w:rPr>
                <w:rFonts w:cstheme="minorHAnsi"/>
              </w:rPr>
              <w:t xml:space="preserve"> Price Schedules </w:t>
            </w:r>
            <w:r w:rsidR="00F713A1">
              <w:rPr>
                <w:rFonts w:cstheme="minorHAnsi"/>
              </w:rPr>
              <w:t>(</w:t>
            </w:r>
            <w:r w:rsidR="00F713A1" w:rsidRPr="00F713A1">
              <w:rPr>
                <w:rFonts w:cstheme="minorHAnsi"/>
              </w:rPr>
              <w:t>Fixed-Rate Cost for the LTA)</w:t>
            </w:r>
            <w:r w:rsidR="00F713A1">
              <w:rPr>
                <w:rFonts w:cstheme="minorHAnsi"/>
              </w:rPr>
              <w:t xml:space="preserve"> </w:t>
            </w:r>
            <w:r w:rsidR="007242C1" w:rsidRPr="007242C1">
              <w:rPr>
                <w:rFonts w:cstheme="minorHAnsi"/>
              </w:rPr>
              <w:t>should be</w:t>
            </w:r>
            <w:r w:rsidR="0030527B">
              <w:rPr>
                <w:rFonts w:cstheme="minorHAnsi"/>
              </w:rPr>
              <w:t xml:space="preserve"> affixed</w:t>
            </w:r>
            <w:r w:rsidR="007242C1" w:rsidRPr="007242C1">
              <w:rPr>
                <w:rFonts w:cstheme="minorHAnsi"/>
              </w:rPr>
              <w:t xml:space="preserve"> for the initial 3 years period of the LTA as proposed by the service provider during the RFPS stage where subsequent extension would be reviewed by UNICEF and subject to UNICEF approval. In case of reduction in the market price, the discounts shall be passed on to UNICEF</w:t>
            </w:r>
            <w:r w:rsidR="004309DD">
              <w:rPr>
                <w:rFonts w:cstheme="minorHAnsi"/>
              </w:rPr>
              <w:t xml:space="preserve">. </w:t>
            </w:r>
            <w:r w:rsidR="007836EE">
              <w:rPr>
                <w:rFonts w:cstheme="minorHAnsi"/>
              </w:rPr>
              <w:t>The Price Schedules includes a table where bidders can provide the % of increase</w:t>
            </w:r>
            <w:r w:rsidR="00F95E63">
              <w:rPr>
                <w:rFonts w:cstheme="minorHAnsi"/>
              </w:rPr>
              <w:t xml:space="preserve"> </w:t>
            </w:r>
            <w:r w:rsidR="005F6F1F">
              <w:rPr>
                <w:rFonts w:cstheme="minorHAnsi"/>
              </w:rPr>
              <w:t xml:space="preserve">(if required) </w:t>
            </w:r>
            <w:r w:rsidR="00F95E63">
              <w:rPr>
                <w:rFonts w:cstheme="minorHAnsi"/>
              </w:rPr>
              <w:t>for</w:t>
            </w:r>
            <w:r w:rsidR="007836EE">
              <w:rPr>
                <w:rFonts w:cstheme="minorHAnsi"/>
              </w:rPr>
              <w:t xml:space="preserve"> Year 2 and Year 3.</w:t>
            </w:r>
          </w:p>
          <w:p w14:paraId="05E41DCE" w14:textId="77777777" w:rsidR="00C140E5" w:rsidRDefault="00C140E5" w:rsidP="007D54FA">
            <w:pPr>
              <w:rPr>
                <w:rFonts w:cstheme="minorHAnsi"/>
              </w:rPr>
            </w:pPr>
          </w:p>
          <w:p w14:paraId="594D5AE1" w14:textId="5A0093B1" w:rsidR="00500DFB" w:rsidRPr="007D54FA" w:rsidRDefault="00CB2A27" w:rsidP="007836EE">
            <w:pPr>
              <w:rPr>
                <w:rFonts w:cstheme="minorHAnsi"/>
              </w:rPr>
            </w:pPr>
            <w:r>
              <w:rPr>
                <w:rFonts w:cstheme="minorHAnsi"/>
              </w:rPr>
              <w:t>Although</w:t>
            </w:r>
            <w:r w:rsidR="00151E34">
              <w:rPr>
                <w:rFonts w:cstheme="minorHAnsi"/>
              </w:rPr>
              <w:t xml:space="preserve"> during the LTA implementat</w:t>
            </w:r>
            <w:r w:rsidR="004309DD">
              <w:rPr>
                <w:rFonts w:cstheme="minorHAnsi"/>
              </w:rPr>
              <w:t>ion, when the</w:t>
            </w:r>
            <w:r w:rsidR="00CC4A24">
              <w:rPr>
                <w:rFonts w:cstheme="minorHAnsi"/>
              </w:rPr>
              <w:t xml:space="preserve"> </w:t>
            </w:r>
            <w:r w:rsidR="00E75E67">
              <w:rPr>
                <w:rFonts w:cstheme="minorHAnsi"/>
              </w:rPr>
              <w:t>appointed LTA vendor</w:t>
            </w:r>
            <w:r w:rsidR="004309DD">
              <w:rPr>
                <w:rFonts w:cstheme="minorHAnsi"/>
              </w:rPr>
              <w:t xml:space="preserve">s are invited </w:t>
            </w:r>
            <w:r w:rsidR="00DC0A13">
              <w:rPr>
                <w:rFonts w:cstheme="minorHAnsi"/>
              </w:rPr>
              <w:t xml:space="preserve">for a specific requirements through a </w:t>
            </w:r>
            <w:r w:rsidR="007575B7">
              <w:rPr>
                <w:rFonts w:cstheme="minorHAnsi"/>
              </w:rPr>
              <w:t xml:space="preserve">mini or </w:t>
            </w:r>
            <w:r w:rsidR="004309DD">
              <w:rPr>
                <w:rFonts w:cstheme="minorHAnsi"/>
              </w:rPr>
              <w:t xml:space="preserve">secondary </w:t>
            </w:r>
            <w:r>
              <w:rPr>
                <w:rFonts w:cstheme="minorHAnsi"/>
              </w:rPr>
              <w:t>competition, they</w:t>
            </w:r>
            <w:r w:rsidR="00E75E67">
              <w:rPr>
                <w:rFonts w:cstheme="minorHAnsi"/>
              </w:rPr>
              <w:t xml:space="preserve"> may use a lower </w:t>
            </w:r>
            <w:r w:rsidR="001E2317">
              <w:rPr>
                <w:rFonts w:cstheme="minorHAnsi"/>
              </w:rPr>
              <w:t>Unit P</w:t>
            </w:r>
            <w:r w:rsidR="00CC4A24">
              <w:rPr>
                <w:rFonts w:cstheme="minorHAnsi"/>
              </w:rPr>
              <w:t>rice</w:t>
            </w:r>
            <w:r w:rsidR="001E2317">
              <w:rPr>
                <w:rFonts w:cstheme="minorHAnsi"/>
              </w:rPr>
              <w:t>s</w:t>
            </w:r>
            <w:r w:rsidR="00CC4A24">
              <w:rPr>
                <w:rFonts w:cstheme="minorHAnsi"/>
              </w:rPr>
              <w:t xml:space="preserve"> </w:t>
            </w:r>
            <w:r w:rsidR="002B58FA">
              <w:rPr>
                <w:rFonts w:cstheme="minorHAnsi"/>
              </w:rPr>
              <w:t>than</w:t>
            </w:r>
            <w:r w:rsidR="00E75E67">
              <w:rPr>
                <w:rFonts w:cstheme="minorHAnsi"/>
              </w:rPr>
              <w:t xml:space="preserve"> the </w:t>
            </w:r>
            <w:r w:rsidR="002B58FA">
              <w:rPr>
                <w:rFonts w:cstheme="minorHAnsi"/>
              </w:rPr>
              <w:t xml:space="preserve">one </w:t>
            </w:r>
            <w:r>
              <w:rPr>
                <w:rFonts w:cstheme="minorHAnsi"/>
              </w:rPr>
              <w:t xml:space="preserve">agreed </w:t>
            </w:r>
            <w:r w:rsidR="002B58FA">
              <w:rPr>
                <w:rFonts w:cstheme="minorHAnsi"/>
              </w:rPr>
              <w:t xml:space="preserve">in the LTA but </w:t>
            </w:r>
            <w:r w:rsidR="00894DE1">
              <w:rPr>
                <w:rFonts w:cstheme="minorHAnsi"/>
              </w:rPr>
              <w:t xml:space="preserve">they cannot provide a higher </w:t>
            </w:r>
            <w:r w:rsidR="002B58FA">
              <w:rPr>
                <w:rFonts w:cstheme="minorHAnsi"/>
              </w:rPr>
              <w:t xml:space="preserve">Unit Price </w:t>
            </w:r>
            <w:r w:rsidR="00894DE1">
              <w:rPr>
                <w:rFonts w:cstheme="minorHAnsi"/>
              </w:rPr>
              <w:t>than the agreed Unit Prices in the LTA</w:t>
            </w:r>
            <w:r w:rsidR="00F2114E">
              <w:rPr>
                <w:rFonts w:cstheme="minorHAnsi"/>
              </w:rPr>
              <w:t xml:space="preserve">. </w:t>
            </w:r>
          </w:p>
        </w:tc>
      </w:tr>
      <w:tr w:rsidR="00FF78A9" w:rsidRPr="00073DA0" w14:paraId="3E3B62EE" w14:textId="77777777" w:rsidTr="00D40306">
        <w:tc>
          <w:tcPr>
            <w:tcW w:w="560" w:type="dxa"/>
          </w:tcPr>
          <w:p w14:paraId="49AE9CBD" w14:textId="04D6E4B8" w:rsidR="00FF78A9" w:rsidRDefault="00FF78A9" w:rsidP="00FF78A9">
            <w:pPr>
              <w:jc w:val="center"/>
              <w:rPr>
                <w:rFonts w:cstheme="minorHAnsi"/>
              </w:rPr>
            </w:pPr>
            <w:r>
              <w:rPr>
                <w:rFonts w:cstheme="minorHAnsi"/>
              </w:rPr>
              <w:t>2</w:t>
            </w:r>
            <w:r w:rsidR="00D40306">
              <w:rPr>
                <w:rFonts w:cstheme="minorHAnsi"/>
              </w:rPr>
              <w:t>.</w:t>
            </w:r>
          </w:p>
        </w:tc>
        <w:tc>
          <w:tcPr>
            <w:tcW w:w="4780" w:type="dxa"/>
          </w:tcPr>
          <w:p w14:paraId="357E1ACC" w14:textId="7C444E99" w:rsidR="00FF78A9" w:rsidRDefault="00FF78A9" w:rsidP="00FF78A9">
            <w:pPr>
              <w:rPr>
                <w:rFonts w:cstheme="minorHAnsi"/>
              </w:rPr>
            </w:pPr>
            <w:r w:rsidRPr="00373843">
              <w:rPr>
                <w:rFonts w:cstheme="minorHAnsi"/>
              </w:rPr>
              <w:t>Deadline extension</w:t>
            </w:r>
          </w:p>
          <w:p w14:paraId="63883D7D" w14:textId="77777777" w:rsidR="001C53C9" w:rsidRDefault="001C53C9" w:rsidP="00FF78A9">
            <w:pPr>
              <w:rPr>
                <w:rFonts w:cstheme="minorHAnsi"/>
              </w:rPr>
            </w:pPr>
          </w:p>
          <w:p w14:paraId="4ABFE683" w14:textId="632EC989" w:rsidR="000A506F" w:rsidRPr="00373843" w:rsidRDefault="00FF78A9" w:rsidP="000F7C4C">
            <w:pPr>
              <w:rPr>
                <w:rFonts w:cstheme="minorHAnsi"/>
              </w:rPr>
            </w:pPr>
            <w:r w:rsidRPr="00606CC2">
              <w:rPr>
                <w:rFonts w:cstheme="minorHAnsi"/>
              </w:rPr>
              <w:t>We believe it is not enough</w:t>
            </w:r>
            <w:r w:rsidR="001C53C9">
              <w:rPr>
                <w:rFonts w:cstheme="minorHAnsi"/>
              </w:rPr>
              <w:t xml:space="preserve"> time</w:t>
            </w:r>
            <w:r w:rsidRPr="00606CC2">
              <w:rPr>
                <w:rFonts w:cstheme="minorHAnsi"/>
              </w:rPr>
              <w:t xml:space="preserve"> as the clarifications incl. lots of technical details which need to be re-evaluate/re-calculate and we also need time to get feedback from our suppliers.</w:t>
            </w:r>
            <w:r w:rsidR="000F7C4C">
              <w:rPr>
                <w:rFonts w:ascii="Calibri" w:hAnsi="Calibri"/>
                <w:color w:val="000000"/>
              </w:rPr>
              <w:t xml:space="preserve"> </w:t>
            </w:r>
            <w:proofErr w:type="gramStart"/>
            <w:r w:rsidR="000F7C4C">
              <w:rPr>
                <w:rFonts w:ascii="Calibri" w:hAnsi="Calibri"/>
                <w:color w:val="000000"/>
              </w:rPr>
              <w:t>In order to</w:t>
            </w:r>
            <w:proofErr w:type="gramEnd"/>
            <w:r w:rsidR="000F7C4C">
              <w:rPr>
                <w:rFonts w:ascii="Calibri" w:hAnsi="Calibri"/>
                <w:color w:val="000000"/>
              </w:rPr>
              <w:t xml:space="preserve"> make competitive proposal, w</w:t>
            </w:r>
            <w:r w:rsidRPr="00606CC2">
              <w:rPr>
                <w:rFonts w:cstheme="minorHAnsi"/>
              </w:rPr>
              <w:t xml:space="preserve">e kindly ask you to give us another 2 weeks of deadline extension </w:t>
            </w:r>
            <w:r w:rsidR="000F7C4C">
              <w:rPr>
                <w:rFonts w:cstheme="minorHAnsi"/>
              </w:rPr>
              <w:t>until 30</w:t>
            </w:r>
            <w:r w:rsidR="000F7C4C" w:rsidRPr="000F7C4C">
              <w:rPr>
                <w:rFonts w:cstheme="minorHAnsi"/>
                <w:vertAlign w:val="superscript"/>
              </w:rPr>
              <w:t>th</w:t>
            </w:r>
            <w:r w:rsidR="000F7C4C">
              <w:rPr>
                <w:rFonts w:cstheme="minorHAnsi"/>
              </w:rPr>
              <w:t xml:space="preserve"> September 2021.</w:t>
            </w:r>
          </w:p>
        </w:tc>
        <w:tc>
          <w:tcPr>
            <w:tcW w:w="5659" w:type="dxa"/>
          </w:tcPr>
          <w:p w14:paraId="3EFAFFFD" w14:textId="4B388077" w:rsidR="00BB576E" w:rsidRPr="00DE0F38" w:rsidRDefault="00DE0F38" w:rsidP="00295292">
            <w:pPr>
              <w:rPr>
                <w:rFonts w:cstheme="minorHAnsi"/>
              </w:rPr>
            </w:pPr>
            <w:r w:rsidRPr="00DE0F38">
              <w:rPr>
                <w:rFonts w:cstheme="minorHAnsi"/>
              </w:rPr>
              <w:t xml:space="preserve">UNICEF has set strict deadlines </w:t>
            </w:r>
            <w:r>
              <w:rPr>
                <w:rFonts w:cstheme="minorHAnsi"/>
              </w:rPr>
              <w:t xml:space="preserve">for the </w:t>
            </w:r>
            <w:proofErr w:type="gramStart"/>
            <w:r>
              <w:rPr>
                <w:rFonts w:cstheme="minorHAnsi"/>
              </w:rPr>
              <w:t>RFP,</w:t>
            </w:r>
            <w:proofErr w:type="gramEnd"/>
            <w:r>
              <w:rPr>
                <w:rFonts w:cstheme="minorHAnsi"/>
              </w:rPr>
              <w:t xml:space="preserve"> </w:t>
            </w:r>
            <w:r w:rsidR="002F74F1">
              <w:rPr>
                <w:rFonts w:cstheme="minorHAnsi"/>
              </w:rPr>
              <w:t xml:space="preserve">we </w:t>
            </w:r>
            <w:r w:rsidR="00E96256">
              <w:rPr>
                <w:rFonts w:cstheme="minorHAnsi"/>
              </w:rPr>
              <w:t>can only</w:t>
            </w:r>
            <w:r w:rsidR="002F74F1">
              <w:rPr>
                <w:rFonts w:cstheme="minorHAnsi"/>
              </w:rPr>
              <w:t xml:space="preserve"> extend the </w:t>
            </w:r>
            <w:r w:rsidR="00E96256">
              <w:rPr>
                <w:rFonts w:cstheme="minorHAnsi"/>
              </w:rPr>
              <w:t xml:space="preserve">RFP </w:t>
            </w:r>
            <w:r w:rsidR="002F74F1">
              <w:rPr>
                <w:rFonts w:cstheme="minorHAnsi"/>
              </w:rPr>
              <w:t xml:space="preserve">deadline </w:t>
            </w:r>
            <w:r w:rsidR="00E96256">
              <w:rPr>
                <w:rFonts w:cstheme="minorHAnsi"/>
              </w:rPr>
              <w:t xml:space="preserve">until </w:t>
            </w:r>
            <w:r w:rsidR="00E96256" w:rsidRPr="00D40306">
              <w:rPr>
                <w:rFonts w:cstheme="minorHAnsi"/>
                <w:b/>
                <w:bCs/>
              </w:rPr>
              <w:t>27</w:t>
            </w:r>
            <w:r w:rsidR="00D40306" w:rsidRPr="00D40306">
              <w:rPr>
                <w:rFonts w:cstheme="minorHAnsi"/>
                <w:b/>
                <w:bCs/>
                <w:vertAlign w:val="superscript"/>
              </w:rPr>
              <w:t>th</w:t>
            </w:r>
            <w:r w:rsidR="00D40306">
              <w:rPr>
                <w:rFonts w:cstheme="minorHAnsi"/>
                <w:b/>
                <w:bCs/>
              </w:rPr>
              <w:t xml:space="preserve"> </w:t>
            </w:r>
            <w:r w:rsidR="00E96256" w:rsidRPr="00D40306">
              <w:rPr>
                <w:rFonts w:cstheme="minorHAnsi"/>
                <w:b/>
                <w:bCs/>
              </w:rPr>
              <w:t>September 2021</w:t>
            </w:r>
            <w:r w:rsidR="00E96256">
              <w:rPr>
                <w:rFonts w:cstheme="minorHAnsi"/>
              </w:rPr>
              <w:t>.</w:t>
            </w:r>
          </w:p>
        </w:tc>
      </w:tr>
      <w:tr w:rsidR="000A506F" w:rsidRPr="00073DA0" w14:paraId="3BE18C18" w14:textId="77777777" w:rsidTr="00D40306">
        <w:tc>
          <w:tcPr>
            <w:tcW w:w="560" w:type="dxa"/>
          </w:tcPr>
          <w:p w14:paraId="2673F3F9" w14:textId="4311147A" w:rsidR="000A506F" w:rsidRDefault="0041387C" w:rsidP="00FF78A9">
            <w:pPr>
              <w:jc w:val="center"/>
              <w:rPr>
                <w:rFonts w:cstheme="minorHAnsi"/>
              </w:rPr>
            </w:pPr>
            <w:r>
              <w:rPr>
                <w:rFonts w:cstheme="minorHAnsi"/>
              </w:rPr>
              <w:t>3</w:t>
            </w:r>
            <w:r w:rsidR="00D40306">
              <w:rPr>
                <w:rFonts w:cstheme="minorHAnsi"/>
              </w:rPr>
              <w:t>.</w:t>
            </w:r>
          </w:p>
        </w:tc>
        <w:tc>
          <w:tcPr>
            <w:tcW w:w="4780" w:type="dxa"/>
          </w:tcPr>
          <w:p w14:paraId="1D3E555A" w14:textId="06220B67" w:rsidR="000A506F" w:rsidRDefault="00BF1AC8" w:rsidP="00FF78A9">
            <w:pPr>
              <w:rPr>
                <w:rFonts w:cstheme="minorHAnsi"/>
              </w:rPr>
            </w:pPr>
            <w:r w:rsidRPr="00BF1AC8">
              <w:rPr>
                <w:rFonts w:cstheme="minorHAnsi"/>
              </w:rPr>
              <w:t>2.1.</w:t>
            </w:r>
            <w:r w:rsidR="00E96256">
              <w:rPr>
                <w:rFonts w:cstheme="minorHAnsi"/>
              </w:rPr>
              <w:t>6</w:t>
            </w:r>
            <w:r w:rsidRPr="00BF1AC8">
              <w:rPr>
                <w:rFonts w:cstheme="minorHAnsi"/>
              </w:rPr>
              <w:t>. Annex B, TOR: LICENCE: The service providers must be licensed for the supply, installation and maintenance of PV Systems in their country of origin. Accordingly supporting documents should be provided.</w:t>
            </w:r>
          </w:p>
          <w:p w14:paraId="3C547790" w14:textId="77777777" w:rsidR="00434AA6" w:rsidRDefault="00434AA6" w:rsidP="00FF78A9">
            <w:pPr>
              <w:rPr>
                <w:rFonts w:cstheme="minorHAnsi"/>
              </w:rPr>
            </w:pPr>
          </w:p>
          <w:p w14:paraId="041F4660" w14:textId="77777777" w:rsidR="00434AA6" w:rsidRPr="00434AA6" w:rsidRDefault="00434AA6" w:rsidP="00434AA6">
            <w:pPr>
              <w:rPr>
                <w:rFonts w:cstheme="minorHAnsi"/>
              </w:rPr>
            </w:pPr>
            <w:r w:rsidRPr="00434AA6">
              <w:rPr>
                <w:rFonts w:cstheme="minorHAnsi"/>
              </w:rPr>
              <w:t xml:space="preserve">Can you pls. clarify if this kind of </w:t>
            </w:r>
            <w:proofErr w:type="spellStart"/>
            <w:r w:rsidRPr="00434AA6">
              <w:rPr>
                <w:rFonts w:cstheme="minorHAnsi"/>
              </w:rPr>
              <w:t>licence</w:t>
            </w:r>
            <w:proofErr w:type="spellEnd"/>
            <w:r w:rsidRPr="00434AA6">
              <w:rPr>
                <w:rFonts w:cstheme="minorHAnsi"/>
              </w:rPr>
              <w:t xml:space="preserve"> specifically for “supply, installation and maintenance of PV Systems “ is MANDATORY for submission ?</w:t>
            </w:r>
          </w:p>
          <w:p w14:paraId="07CEB616" w14:textId="77777777" w:rsidR="00434AA6" w:rsidRDefault="00434AA6" w:rsidP="00434AA6">
            <w:pPr>
              <w:rPr>
                <w:rFonts w:cstheme="minorHAnsi"/>
              </w:rPr>
            </w:pPr>
            <w:r w:rsidRPr="00434AA6">
              <w:rPr>
                <w:rFonts w:cstheme="minorHAnsi"/>
              </w:rPr>
              <w:t xml:space="preserve">In our country such </w:t>
            </w:r>
            <w:proofErr w:type="spellStart"/>
            <w:r w:rsidRPr="00434AA6">
              <w:rPr>
                <w:rFonts w:cstheme="minorHAnsi"/>
              </w:rPr>
              <w:t>licence</w:t>
            </w:r>
            <w:proofErr w:type="spellEnd"/>
            <w:r w:rsidRPr="00434AA6">
              <w:rPr>
                <w:rFonts w:cstheme="minorHAnsi"/>
              </w:rPr>
              <w:t xml:space="preserve"> does not exist and is not applicable. We are already LTA holder of various Solar projects with UNDP. Instead we can provide Business Registration and TAX / VAT registration and Acceptance of certificate for the completed solar projects as references. Pls. clarify</w:t>
            </w:r>
          </w:p>
          <w:p w14:paraId="496370EC" w14:textId="18B8E24F" w:rsidR="00E21B9F" w:rsidRPr="00373843" w:rsidRDefault="00E21B9F" w:rsidP="00434AA6">
            <w:pPr>
              <w:rPr>
                <w:rFonts w:cstheme="minorHAnsi"/>
              </w:rPr>
            </w:pPr>
          </w:p>
        </w:tc>
        <w:tc>
          <w:tcPr>
            <w:tcW w:w="5659" w:type="dxa"/>
            <w:shd w:val="clear" w:color="auto" w:fill="auto"/>
          </w:tcPr>
          <w:p w14:paraId="2693E59A" w14:textId="631C117C" w:rsidR="00ED1751" w:rsidRDefault="00ED1751" w:rsidP="00ED1751">
            <w:pPr>
              <w:rPr>
                <w:rFonts w:cstheme="minorHAnsi"/>
                <w:b/>
                <w:bCs/>
              </w:rPr>
            </w:pPr>
            <w:r>
              <w:rPr>
                <w:rFonts w:cstheme="minorHAnsi"/>
                <w:b/>
                <w:bCs/>
              </w:rPr>
              <w:t>The paragraph 2.1.</w:t>
            </w:r>
            <w:r w:rsidR="00E96256">
              <w:rPr>
                <w:rFonts w:cstheme="minorHAnsi"/>
                <w:b/>
                <w:bCs/>
              </w:rPr>
              <w:t>6</w:t>
            </w:r>
            <w:r>
              <w:rPr>
                <w:rFonts w:cstheme="minorHAnsi"/>
                <w:b/>
                <w:bCs/>
              </w:rPr>
              <w:t xml:space="preserve"> </w:t>
            </w:r>
            <w:r w:rsidR="00E96256">
              <w:rPr>
                <w:rFonts w:cstheme="minorHAnsi"/>
                <w:b/>
                <w:bCs/>
              </w:rPr>
              <w:t xml:space="preserve">(page 11 of the TOR, Annex B) </w:t>
            </w:r>
            <w:r>
              <w:rPr>
                <w:rFonts w:cstheme="minorHAnsi"/>
                <w:b/>
                <w:bCs/>
              </w:rPr>
              <w:t>has been amended from:</w:t>
            </w:r>
          </w:p>
          <w:p w14:paraId="1E1ABEC9" w14:textId="77777777" w:rsidR="00ED1751" w:rsidRDefault="00ED1751" w:rsidP="00ED1751">
            <w:pPr>
              <w:rPr>
                <w:rFonts w:cstheme="minorHAnsi"/>
                <w:b/>
                <w:bCs/>
              </w:rPr>
            </w:pPr>
          </w:p>
          <w:p w14:paraId="4937948B" w14:textId="46D79C2F" w:rsidR="00ED1751" w:rsidRDefault="00ED1751" w:rsidP="00ED1751">
            <w:pPr>
              <w:rPr>
                <w:rFonts w:cstheme="minorHAnsi"/>
              </w:rPr>
            </w:pPr>
            <w:r w:rsidRPr="00BF1AC8">
              <w:rPr>
                <w:rFonts w:cstheme="minorHAnsi"/>
              </w:rPr>
              <w:t>2.1.</w:t>
            </w:r>
            <w:r w:rsidR="00E96256">
              <w:rPr>
                <w:rFonts w:cstheme="minorHAnsi"/>
              </w:rPr>
              <w:t>6</w:t>
            </w:r>
            <w:r w:rsidRPr="00BF1AC8">
              <w:rPr>
                <w:rFonts w:cstheme="minorHAnsi"/>
              </w:rPr>
              <w:t>. Annex B, TOR: LICENCE: The service providers must be licensed for the supply, installation and maintenance of PV Systems in their country of origin. Accordingly supporting documents should be provided.</w:t>
            </w:r>
          </w:p>
          <w:p w14:paraId="46FF3F98" w14:textId="77777777" w:rsidR="00ED1751" w:rsidRDefault="00ED1751" w:rsidP="00ED1751">
            <w:pPr>
              <w:rPr>
                <w:rFonts w:cstheme="minorHAnsi"/>
                <w:b/>
                <w:bCs/>
              </w:rPr>
            </w:pPr>
          </w:p>
          <w:p w14:paraId="7535A431" w14:textId="5956D210" w:rsidR="000A506F" w:rsidRDefault="00ED1751" w:rsidP="00ED1751">
            <w:pPr>
              <w:rPr>
                <w:rFonts w:cstheme="minorHAnsi"/>
                <w:b/>
                <w:bCs/>
              </w:rPr>
            </w:pPr>
            <w:r>
              <w:rPr>
                <w:rFonts w:cstheme="minorHAnsi"/>
                <w:b/>
                <w:bCs/>
              </w:rPr>
              <w:t>to:</w:t>
            </w:r>
          </w:p>
          <w:p w14:paraId="3E9E48AC" w14:textId="588FA49E" w:rsidR="00ED1751" w:rsidRDefault="00ED1751" w:rsidP="00ED1751">
            <w:pPr>
              <w:rPr>
                <w:rFonts w:cstheme="minorHAnsi"/>
              </w:rPr>
            </w:pPr>
            <w:r w:rsidRPr="00BF1AC8">
              <w:rPr>
                <w:rFonts w:cstheme="minorHAnsi"/>
              </w:rPr>
              <w:t>2.1.</w:t>
            </w:r>
            <w:r w:rsidR="00E96256">
              <w:rPr>
                <w:rFonts w:cstheme="minorHAnsi"/>
              </w:rPr>
              <w:t>6</w:t>
            </w:r>
            <w:r w:rsidRPr="00BF1AC8">
              <w:rPr>
                <w:rFonts w:cstheme="minorHAnsi"/>
              </w:rPr>
              <w:t>. Annex B, TOR: LICENCE: The service providers must be licensed for the supply, installation and maintenance of PV Systems in their country of origin</w:t>
            </w:r>
            <w:r>
              <w:rPr>
                <w:rFonts w:cstheme="minorHAnsi"/>
              </w:rPr>
              <w:t xml:space="preserve">. </w:t>
            </w:r>
          </w:p>
          <w:p w14:paraId="4F94C4B8" w14:textId="77777777" w:rsidR="00BB576E" w:rsidRDefault="00BB576E" w:rsidP="00ED1751">
            <w:pPr>
              <w:rPr>
                <w:rFonts w:cstheme="minorHAnsi"/>
              </w:rPr>
            </w:pPr>
          </w:p>
          <w:p w14:paraId="1FF8BE11" w14:textId="77777777" w:rsidR="00ED1751" w:rsidRDefault="00ED1751" w:rsidP="00ED1751">
            <w:pPr>
              <w:rPr>
                <w:rFonts w:cstheme="minorHAnsi"/>
              </w:rPr>
            </w:pPr>
            <w:r>
              <w:rPr>
                <w:rFonts w:cstheme="minorHAnsi"/>
              </w:rPr>
              <w:t>Otherwise, appropriate business registration, including TAX/VAT, in addition to Certificates of Acceptance of previously completed project references</w:t>
            </w:r>
            <w:r w:rsidR="002F74F1">
              <w:rPr>
                <w:rFonts w:cstheme="minorHAnsi"/>
              </w:rPr>
              <w:t xml:space="preserve"> should be provided.</w:t>
            </w:r>
          </w:p>
          <w:p w14:paraId="387F5115" w14:textId="77777777" w:rsidR="00E96256" w:rsidRDefault="00E96256" w:rsidP="00ED1751">
            <w:pPr>
              <w:rPr>
                <w:rFonts w:cstheme="minorHAnsi"/>
                <w:b/>
                <w:bCs/>
              </w:rPr>
            </w:pPr>
          </w:p>
          <w:p w14:paraId="06EFE2EF" w14:textId="13FCA269" w:rsidR="00E96256" w:rsidRPr="00073DA0" w:rsidRDefault="00E96256" w:rsidP="00ED1751">
            <w:pPr>
              <w:rPr>
                <w:rFonts w:cstheme="minorHAnsi"/>
                <w:b/>
                <w:bCs/>
              </w:rPr>
            </w:pPr>
            <w:r>
              <w:rPr>
                <w:rFonts w:cstheme="minorHAnsi"/>
                <w:b/>
                <w:bCs/>
              </w:rPr>
              <w:t xml:space="preserve">The Appendix 4 </w:t>
            </w:r>
            <w:r w:rsidR="00D40306">
              <w:rPr>
                <w:rFonts w:cstheme="minorHAnsi"/>
                <w:b/>
                <w:bCs/>
              </w:rPr>
              <w:t>-</w:t>
            </w:r>
            <w:r>
              <w:rPr>
                <w:rFonts w:cstheme="minorHAnsi"/>
                <w:b/>
                <w:bCs/>
              </w:rPr>
              <w:t xml:space="preserve"> Evaluation Criteria has been amended as well to reflect the above changes. Moving forward, please </w:t>
            </w:r>
            <w:r>
              <w:rPr>
                <w:rFonts w:cstheme="minorHAnsi"/>
                <w:b/>
                <w:bCs/>
              </w:rPr>
              <w:lastRenderedPageBreak/>
              <w:t xml:space="preserve">use the attached Revised Appendix 4 </w:t>
            </w:r>
            <w:r w:rsidR="00D40306">
              <w:rPr>
                <w:rFonts w:cstheme="minorHAnsi"/>
                <w:b/>
                <w:bCs/>
              </w:rPr>
              <w:t>-</w:t>
            </w:r>
            <w:r>
              <w:rPr>
                <w:rFonts w:cstheme="minorHAnsi"/>
                <w:b/>
                <w:bCs/>
              </w:rPr>
              <w:t xml:space="preserve"> Evaluation Criteria (Dated 7 September 2021) as a reference to the Appendix 4.</w:t>
            </w:r>
          </w:p>
        </w:tc>
      </w:tr>
      <w:tr w:rsidR="00E21B9F" w:rsidRPr="00073DA0" w14:paraId="1B8D59C0" w14:textId="77777777" w:rsidTr="00D40306">
        <w:tc>
          <w:tcPr>
            <w:tcW w:w="560" w:type="dxa"/>
          </w:tcPr>
          <w:p w14:paraId="689C0AE7" w14:textId="014B578D" w:rsidR="00E21B9F" w:rsidRDefault="0041387C" w:rsidP="00FF78A9">
            <w:pPr>
              <w:jc w:val="center"/>
              <w:rPr>
                <w:rFonts w:cstheme="minorHAnsi"/>
              </w:rPr>
            </w:pPr>
            <w:r>
              <w:rPr>
                <w:rFonts w:cstheme="minorHAnsi"/>
              </w:rPr>
              <w:lastRenderedPageBreak/>
              <w:t>4</w:t>
            </w:r>
            <w:r w:rsidR="00D40306">
              <w:rPr>
                <w:rFonts w:cstheme="minorHAnsi"/>
              </w:rPr>
              <w:t>.</w:t>
            </w:r>
          </w:p>
        </w:tc>
        <w:tc>
          <w:tcPr>
            <w:tcW w:w="4780" w:type="dxa"/>
          </w:tcPr>
          <w:p w14:paraId="2B17C0DE" w14:textId="77777777" w:rsidR="00E21B9F" w:rsidRDefault="00E21B9F" w:rsidP="00FF78A9">
            <w:pPr>
              <w:rPr>
                <w:rFonts w:cstheme="minorHAnsi"/>
              </w:rPr>
            </w:pPr>
            <w:r w:rsidRPr="00E21B9F">
              <w:rPr>
                <w:rFonts w:cstheme="minorHAnsi"/>
              </w:rPr>
              <w:t xml:space="preserve">Proposal for </w:t>
            </w:r>
            <w:r w:rsidRPr="00D43C30">
              <w:rPr>
                <w:rFonts w:cstheme="minorHAnsi"/>
              </w:rPr>
              <w:t>each LOT must be submitted separately as the evaluation for each LOT would be completed separately against the requirements as indicated in this Terms of Reference Sub-Chapter 1.2.</w:t>
            </w:r>
          </w:p>
          <w:p w14:paraId="712D596B" w14:textId="77777777" w:rsidR="006413B6" w:rsidRDefault="006413B6" w:rsidP="00FF78A9">
            <w:pPr>
              <w:rPr>
                <w:rFonts w:cstheme="minorHAnsi"/>
              </w:rPr>
            </w:pPr>
          </w:p>
          <w:p w14:paraId="455B27C5" w14:textId="715296C1" w:rsidR="006413B6" w:rsidRPr="00BF1AC8" w:rsidRDefault="006413B6" w:rsidP="00FF78A9">
            <w:pPr>
              <w:rPr>
                <w:rFonts w:cstheme="minorHAnsi"/>
              </w:rPr>
            </w:pPr>
            <w:r w:rsidRPr="006413B6">
              <w:rPr>
                <w:rFonts w:cstheme="minorHAnsi"/>
              </w:rPr>
              <w:t>If a sole bidder submits 6 lots separately, do you still request the same administrative / supporting (such as, Financial reports, company documents, references, bank statements etc.) documents in 6 full copies or is it acceptable to submit only 1 copy of the required administrative / supporting documents for all 6 lots ? pls. clarify.</w:t>
            </w:r>
          </w:p>
        </w:tc>
        <w:tc>
          <w:tcPr>
            <w:tcW w:w="5659" w:type="dxa"/>
          </w:tcPr>
          <w:p w14:paraId="551180F7" w14:textId="199670EF" w:rsidR="00E21B9F" w:rsidRPr="00DB290B" w:rsidRDefault="00DB290B" w:rsidP="00DB290B">
            <w:pPr>
              <w:rPr>
                <w:rFonts w:cstheme="minorHAnsi"/>
              </w:rPr>
            </w:pPr>
            <w:r>
              <w:rPr>
                <w:rFonts w:cstheme="minorHAnsi"/>
              </w:rPr>
              <w:t>Yes, p</w:t>
            </w:r>
            <w:r w:rsidRPr="00DB290B">
              <w:rPr>
                <w:rFonts w:cstheme="minorHAnsi"/>
              </w:rPr>
              <w:t>roposal for each LOT must be submitted separately</w:t>
            </w:r>
            <w:r w:rsidR="00FA0061">
              <w:rPr>
                <w:rFonts w:cstheme="minorHAnsi"/>
              </w:rPr>
              <w:t>,</w:t>
            </w:r>
            <w:r w:rsidR="00FA0061">
              <w:t xml:space="preserve"> including the </w:t>
            </w:r>
            <w:r w:rsidR="00FA0061" w:rsidRPr="00FA0061">
              <w:rPr>
                <w:rFonts w:cstheme="minorHAnsi"/>
              </w:rPr>
              <w:t>administrative/ supporting (such as, Financial reports, company documents, references, bank statements etc.)</w:t>
            </w:r>
            <w:r w:rsidR="00FA0061">
              <w:rPr>
                <w:rFonts w:cstheme="minorHAnsi"/>
              </w:rPr>
              <w:t xml:space="preserve">, </w:t>
            </w:r>
            <w:r w:rsidRPr="00DB290B">
              <w:rPr>
                <w:rFonts w:cstheme="minorHAnsi"/>
              </w:rPr>
              <w:t>as the evaluation for each LOT would be completed separately</w:t>
            </w:r>
            <w:r>
              <w:rPr>
                <w:rFonts w:cstheme="minorHAnsi"/>
              </w:rPr>
              <w:t xml:space="preserve">. The </w:t>
            </w:r>
            <w:r w:rsidR="00AB58A5">
              <w:rPr>
                <w:rFonts w:cstheme="minorHAnsi"/>
              </w:rPr>
              <w:t>bid opening and evaluation of each LOT may not be done simultaneously and the evaluation team for each LOT might also be different. Hence, it is important that each LOT submission contains all</w:t>
            </w:r>
            <w:r w:rsidR="00DB39DF">
              <w:rPr>
                <w:rFonts w:cstheme="minorHAnsi"/>
              </w:rPr>
              <w:t xml:space="preserve"> of</w:t>
            </w:r>
            <w:r w:rsidR="00AB58A5">
              <w:rPr>
                <w:rFonts w:cstheme="minorHAnsi"/>
              </w:rPr>
              <w:t xml:space="preserve"> the required information.</w:t>
            </w:r>
          </w:p>
        </w:tc>
      </w:tr>
      <w:tr w:rsidR="00EC7173" w:rsidRPr="00073DA0" w14:paraId="3B8A87C8" w14:textId="77777777" w:rsidTr="00D40306">
        <w:tc>
          <w:tcPr>
            <w:tcW w:w="560" w:type="dxa"/>
          </w:tcPr>
          <w:p w14:paraId="3DB0F27C" w14:textId="781884DB" w:rsidR="00EC7173" w:rsidRDefault="00D40306" w:rsidP="00FF78A9">
            <w:pPr>
              <w:jc w:val="center"/>
              <w:rPr>
                <w:rFonts w:cstheme="minorHAnsi"/>
              </w:rPr>
            </w:pPr>
            <w:r>
              <w:rPr>
                <w:rFonts w:cstheme="minorHAnsi"/>
              </w:rPr>
              <w:t>5.</w:t>
            </w:r>
          </w:p>
        </w:tc>
        <w:tc>
          <w:tcPr>
            <w:tcW w:w="4780" w:type="dxa"/>
          </w:tcPr>
          <w:p w14:paraId="2F7D4EA7" w14:textId="77777777" w:rsidR="00EC7173" w:rsidRPr="00EC7173" w:rsidRDefault="00EC7173" w:rsidP="00EC7173">
            <w:pPr>
              <w:rPr>
                <w:rFonts w:cstheme="minorHAnsi"/>
              </w:rPr>
            </w:pPr>
            <w:r w:rsidRPr="00EC7173">
              <w:rPr>
                <w:rFonts w:cstheme="minorHAnsi"/>
              </w:rPr>
              <w:t>2.1.2. FINANCIAL SOUNDNESS:</w:t>
            </w:r>
          </w:p>
          <w:p w14:paraId="753F2353" w14:textId="77777777" w:rsidR="00EC7173" w:rsidRPr="00EC7173" w:rsidRDefault="00EC7173" w:rsidP="00EC7173">
            <w:pPr>
              <w:rPr>
                <w:rFonts w:cstheme="minorHAnsi"/>
              </w:rPr>
            </w:pPr>
            <w:r w:rsidRPr="00EC7173">
              <w:rPr>
                <w:rFonts w:cstheme="minorHAnsi"/>
              </w:rPr>
              <w:t>2.1.2.1. Description of their preferred insurance product providers</w:t>
            </w:r>
          </w:p>
          <w:p w14:paraId="02E24EAD" w14:textId="5C512850" w:rsidR="00EC7173" w:rsidRDefault="00EC7173" w:rsidP="00EC7173">
            <w:pPr>
              <w:rPr>
                <w:rFonts w:cstheme="minorHAnsi"/>
              </w:rPr>
            </w:pPr>
            <w:r w:rsidRPr="00EC7173">
              <w:rPr>
                <w:rFonts w:cstheme="minorHAnsi"/>
              </w:rPr>
              <w:t xml:space="preserve">2.1.2.2. Contractual references with their preferred insurance product providers </w:t>
            </w:r>
          </w:p>
          <w:p w14:paraId="308466C5" w14:textId="16C69C7A" w:rsidR="00AC0685" w:rsidRDefault="00AC0685" w:rsidP="00EC7173">
            <w:pPr>
              <w:rPr>
                <w:rFonts w:cstheme="minorHAnsi"/>
              </w:rPr>
            </w:pPr>
            <w:r w:rsidRPr="00AC0685">
              <w:rPr>
                <w:rFonts w:cstheme="minorHAnsi"/>
              </w:rPr>
              <w:t>2.1.2.3. Show their relationship with financial service providers including bank references.</w:t>
            </w:r>
          </w:p>
          <w:p w14:paraId="3C1E2BBA" w14:textId="77777777" w:rsidR="00EC7173" w:rsidRDefault="00EC7173" w:rsidP="00EC7173">
            <w:pPr>
              <w:rPr>
                <w:rFonts w:cstheme="minorHAnsi"/>
              </w:rPr>
            </w:pPr>
          </w:p>
          <w:p w14:paraId="55C4DE97" w14:textId="43B0DEDA" w:rsidR="00EC7173" w:rsidRDefault="00EC7173" w:rsidP="00EC7173">
            <w:pPr>
              <w:rPr>
                <w:rFonts w:cstheme="minorHAnsi"/>
              </w:rPr>
            </w:pPr>
            <w:r w:rsidRPr="00EC7173">
              <w:rPr>
                <w:rFonts w:cstheme="minorHAnsi"/>
              </w:rPr>
              <w:t xml:space="preserve">a) What kind of description of the insurance product providers do you </w:t>
            </w:r>
            <w:r w:rsidR="00953D23" w:rsidRPr="00EC7173">
              <w:rPr>
                <w:rFonts w:cstheme="minorHAnsi"/>
              </w:rPr>
              <w:t>mean?</w:t>
            </w:r>
            <w:r w:rsidRPr="00EC7173">
              <w:rPr>
                <w:rFonts w:cstheme="minorHAnsi"/>
              </w:rPr>
              <w:t xml:space="preserve"> Normally bidders </w:t>
            </w:r>
            <w:r w:rsidR="00D40306" w:rsidRPr="00EC7173">
              <w:rPr>
                <w:rFonts w:cstheme="minorHAnsi"/>
              </w:rPr>
              <w:t>confirm</w:t>
            </w:r>
            <w:r w:rsidRPr="00EC7173">
              <w:rPr>
                <w:rFonts w:cstheme="minorHAnsi"/>
              </w:rPr>
              <w:t xml:space="preserve"> the insurance of the goods in the offer and don’t need to specify the insurance for all goods as this could be a very long list. Pls. clarify</w:t>
            </w:r>
          </w:p>
          <w:p w14:paraId="1C768580" w14:textId="77777777" w:rsidR="00AC0685" w:rsidRDefault="00AC0685" w:rsidP="00EC7173">
            <w:pPr>
              <w:rPr>
                <w:rFonts w:cstheme="minorHAnsi"/>
              </w:rPr>
            </w:pPr>
          </w:p>
          <w:p w14:paraId="22D2461F" w14:textId="50578216" w:rsidR="00AC0685" w:rsidRDefault="00AC0685" w:rsidP="00AC0685">
            <w:pPr>
              <w:rPr>
                <w:rFonts w:cstheme="minorHAnsi"/>
              </w:rPr>
            </w:pPr>
            <w:r w:rsidRPr="00AC0685">
              <w:rPr>
                <w:rFonts w:cstheme="minorHAnsi"/>
              </w:rPr>
              <w:t xml:space="preserve">b) What kind of contractual references do you </w:t>
            </w:r>
            <w:r w:rsidR="00953D23" w:rsidRPr="00AC0685">
              <w:rPr>
                <w:rFonts w:cstheme="minorHAnsi"/>
              </w:rPr>
              <w:t>need?</w:t>
            </w:r>
            <w:r w:rsidRPr="00AC0685">
              <w:rPr>
                <w:rFonts w:cstheme="minorHAnsi"/>
              </w:rPr>
              <w:t xml:space="preserve"> pls. clarify. Pls. notice that this reference could be confidential.</w:t>
            </w:r>
          </w:p>
          <w:p w14:paraId="4666873E" w14:textId="77777777" w:rsidR="00AC0685" w:rsidRPr="00AC0685" w:rsidRDefault="00AC0685" w:rsidP="00AC0685">
            <w:pPr>
              <w:rPr>
                <w:rFonts w:cstheme="minorHAnsi"/>
              </w:rPr>
            </w:pPr>
          </w:p>
          <w:p w14:paraId="773AFE39" w14:textId="0AA8261C" w:rsidR="00AC0685" w:rsidRDefault="00AC0685" w:rsidP="00AC0685">
            <w:pPr>
              <w:rPr>
                <w:rFonts w:cstheme="minorHAnsi"/>
              </w:rPr>
            </w:pPr>
            <w:r w:rsidRPr="00AC0685">
              <w:rPr>
                <w:rFonts w:cstheme="minorHAnsi"/>
              </w:rPr>
              <w:t>c) What do you mean by “show relationship to the bank</w:t>
            </w:r>
            <w:r w:rsidR="00953D23" w:rsidRPr="00AC0685">
              <w:rPr>
                <w:rFonts w:cstheme="minorHAnsi"/>
              </w:rPr>
              <w:t>”?</w:t>
            </w:r>
            <w:r w:rsidRPr="00AC0685">
              <w:rPr>
                <w:rFonts w:cstheme="minorHAnsi"/>
              </w:rPr>
              <w:t xml:space="preserve"> Is a bank Statement saying bidder is doing business with the bank </w:t>
            </w:r>
            <w:r w:rsidR="00953D23" w:rsidRPr="00AC0685">
              <w:rPr>
                <w:rFonts w:cstheme="minorHAnsi"/>
              </w:rPr>
              <w:t>acceptable?</w:t>
            </w:r>
            <w:r w:rsidRPr="00AC0685">
              <w:rPr>
                <w:rFonts w:cstheme="minorHAnsi"/>
              </w:rPr>
              <w:t xml:space="preserve"> Pls. clarify</w:t>
            </w:r>
          </w:p>
          <w:p w14:paraId="485341CF" w14:textId="7C9C208B" w:rsidR="00EC7173" w:rsidRPr="00E21B9F" w:rsidRDefault="00EC7173" w:rsidP="00EC7173">
            <w:pPr>
              <w:rPr>
                <w:rFonts w:cstheme="minorHAnsi"/>
              </w:rPr>
            </w:pPr>
          </w:p>
        </w:tc>
        <w:tc>
          <w:tcPr>
            <w:tcW w:w="5659" w:type="dxa"/>
          </w:tcPr>
          <w:p w14:paraId="75B20F0E" w14:textId="77777777" w:rsidR="00EC7173" w:rsidRDefault="00ED1751" w:rsidP="00EC7173">
            <w:pPr>
              <w:rPr>
                <w:rFonts w:cstheme="minorHAnsi"/>
              </w:rPr>
            </w:pPr>
            <w:r>
              <w:rPr>
                <w:rFonts w:cstheme="minorHAnsi"/>
              </w:rPr>
              <w:t xml:space="preserve">a) UNICEF wants to know who are your insurance providers (names); and with what kind of products the bidder is familiar. </w:t>
            </w:r>
          </w:p>
          <w:p w14:paraId="3BA3AEB9" w14:textId="77777777" w:rsidR="00ED1751" w:rsidRDefault="00ED1751" w:rsidP="00EC7173">
            <w:pPr>
              <w:rPr>
                <w:rFonts w:cstheme="minorHAnsi"/>
              </w:rPr>
            </w:pPr>
          </w:p>
          <w:p w14:paraId="0EF97A83" w14:textId="1172D423" w:rsidR="00ED1751" w:rsidRDefault="00ED1751" w:rsidP="00EC7173">
            <w:pPr>
              <w:rPr>
                <w:rFonts w:cstheme="minorHAnsi"/>
              </w:rPr>
            </w:pPr>
            <w:r>
              <w:rPr>
                <w:rFonts w:cstheme="minorHAnsi"/>
              </w:rPr>
              <w:t>This point is relevant for the case study, as the bidder is requested to provide a price for “lot leasing” and “lot other financial options”</w:t>
            </w:r>
          </w:p>
          <w:p w14:paraId="440B7B1D" w14:textId="77777777" w:rsidR="00ED1751" w:rsidRDefault="00ED1751" w:rsidP="00EC7173">
            <w:pPr>
              <w:rPr>
                <w:rFonts w:cstheme="minorHAnsi"/>
              </w:rPr>
            </w:pPr>
          </w:p>
          <w:p w14:paraId="0417C14D" w14:textId="726D2A13" w:rsidR="00ED1751" w:rsidRDefault="00ED1751" w:rsidP="00EC7173">
            <w:pPr>
              <w:rPr>
                <w:rFonts w:cstheme="minorHAnsi"/>
              </w:rPr>
            </w:pPr>
            <w:r>
              <w:rPr>
                <w:rFonts w:cstheme="minorHAnsi"/>
              </w:rPr>
              <w:t>b) If the bidder claims to have previous experience in delivering the above</w:t>
            </w:r>
            <w:r w:rsidR="00C71928">
              <w:rPr>
                <w:rFonts w:cstheme="minorHAnsi"/>
              </w:rPr>
              <w:t>-</w:t>
            </w:r>
            <w:r>
              <w:rPr>
                <w:rFonts w:cstheme="minorHAnsi"/>
              </w:rPr>
              <w:t xml:space="preserve">mentioned financial lots, the UNICEF request to see the substance of those reference contracts </w:t>
            </w:r>
            <w:r w:rsidR="00C71928">
              <w:rPr>
                <w:rFonts w:cstheme="minorHAnsi"/>
              </w:rPr>
              <w:t>(of course respecting confidentiality of the client).</w:t>
            </w:r>
          </w:p>
          <w:p w14:paraId="202FB026" w14:textId="77777777" w:rsidR="00C71928" w:rsidRDefault="00C71928" w:rsidP="00EC7173">
            <w:pPr>
              <w:rPr>
                <w:rFonts w:cstheme="minorHAnsi"/>
              </w:rPr>
            </w:pPr>
          </w:p>
          <w:p w14:paraId="7884018A" w14:textId="77777777" w:rsidR="00C71928" w:rsidRDefault="00C71928" w:rsidP="00EC7173">
            <w:pPr>
              <w:rPr>
                <w:rFonts w:cstheme="minorHAnsi"/>
              </w:rPr>
            </w:pPr>
            <w:r>
              <w:rPr>
                <w:rFonts w:cstheme="minorHAnsi"/>
              </w:rPr>
              <w:t xml:space="preserve">Details should include: </w:t>
            </w:r>
          </w:p>
          <w:p w14:paraId="4B545CFE" w14:textId="7CEBA6C1" w:rsidR="00C71928" w:rsidRDefault="00C71928" w:rsidP="00EC7173">
            <w:pPr>
              <w:rPr>
                <w:rFonts w:cstheme="minorHAnsi"/>
              </w:rPr>
            </w:pPr>
            <w:r>
              <w:rPr>
                <w:rFonts w:cstheme="minorHAnsi"/>
              </w:rPr>
              <w:t>1) technical terms of reference of the contract, including type of products used, technical details of the PV system, services provided, insurance packages included (damages, theft, O&amp;M, product safety, etc.) included.</w:t>
            </w:r>
          </w:p>
          <w:p w14:paraId="7999A4C9" w14:textId="1B3C4F18" w:rsidR="00C71928" w:rsidRDefault="00C71928" w:rsidP="00EC7173">
            <w:pPr>
              <w:rPr>
                <w:rFonts w:cstheme="minorHAnsi"/>
              </w:rPr>
            </w:pPr>
            <w:r>
              <w:rPr>
                <w:rFonts w:cstheme="minorHAnsi"/>
              </w:rPr>
              <w:t>2) same method shall be used for developing Annex 9</w:t>
            </w:r>
          </w:p>
          <w:p w14:paraId="4A42BDA6" w14:textId="77777777" w:rsidR="00C71928" w:rsidRDefault="00C71928" w:rsidP="00EC7173">
            <w:pPr>
              <w:rPr>
                <w:rFonts w:cstheme="minorHAnsi"/>
              </w:rPr>
            </w:pPr>
          </w:p>
          <w:p w14:paraId="3D1075F8" w14:textId="1EE44A5E" w:rsidR="00C71928" w:rsidRPr="00EC7173" w:rsidRDefault="00C71928" w:rsidP="00EC7173">
            <w:pPr>
              <w:rPr>
                <w:rFonts w:cstheme="minorHAnsi"/>
              </w:rPr>
            </w:pPr>
            <w:r>
              <w:rPr>
                <w:rFonts w:cstheme="minorHAnsi"/>
              </w:rPr>
              <w:t xml:space="preserve">c) UNICEF to proof the financial capacity of the bidder will like to receive reference(s) from the its bank, indicating available cash capacity, credit line, default situation, among others. </w:t>
            </w:r>
          </w:p>
        </w:tc>
      </w:tr>
      <w:tr w:rsidR="00EC7173" w:rsidRPr="00073DA0" w14:paraId="2956FC72" w14:textId="77777777" w:rsidTr="00D40306">
        <w:tc>
          <w:tcPr>
            <w:tcW w:w="560" w:type="dxa"/>
          </w:tcPr>
          <w:p w14:paraId="6812ED0E" w14:textId="24D3AA41" w:rsidR="00EC7173" w:rsidRDefault="00D40306" w:rsidP="00FF78A9">
            <w:pPr>
              <w:jc w:val="center"/>
              <w:rPr>
                <w:rFonts w:cstheme="minorHAnsi"/>
              </w:rPr>
            </w:pPr>
            <w:r>
              <w:rPr>
                <w:rFonts w:cstheme="minorHAnsi"/>
              </w:rPr>
              <w:t>6.</w:t>
            </w:r>
          </w:p>
        </w:tc>
        <w:tc>
          <w:tcPr>
            <w:tcW w:w="4780" w:type="dxa"/>
          </w:tcPr>
          <w:p w14:paraId="15B52761" w14:textId="77777777" w:rsidR="00EC7173" w:rsidRDefault="00CD2DB0" w:rsidP="00EC7173">
            <w:pPr>
              <w:rPr>
                <w:rFonts w:cstheme="minorHAnsi"/>
              </w:rPr>
            </w:pPr>
            <w:r w:rsidRPr="00CD2DB0">
              <w:rPr>
                <w:rFonts w:cstheme="minorHAnsi"/>
              </w:rPr>
              <w:t>2.2.1 DELIVERY SCHEDULE: The service providers must propose the shortest possible period for supply and installation as well as having the required authorized network in the country/</w:t>
            </w:r>
            <w:proofErr w:type="spellStart"/>
            <w:r w:rsidRPr="00CD2DB0">
              <w:rPr>
                <w:rFonts w:cstheme="minorHAnsi"/>
              </w:rPr>
              <w:t>ies</w:t>
            </w:r>
            <w:proofErr w:type="spellEnd"/>
            <w:r w:rsidRPr="00CD2DB0">
              <w:rPr>
                <w:rFonts w:cstheme="minorHAnsi"/>
              </w:rPr>
              <w:t xml:space="preserve"> that the service providers are proposing to supply the service</w:t>
            </w:r>
          </w:p>
          <w:p w14:paraId="60C22BBD" w14:textId="77777777" w:rsidR="00CD2DB0" w:rsidRDefault="00CD2DB0" w:rsidP="00EC7173">
            <w:pPr>
              <w:rPr>
                <w:rFonts w:cstheme="minorHAnsi"/>
              </w:rPr>
            </w:pPr>
          </w:p>
          <w:p w14:paraId="5DA9783D" w14:textId="77777777" w:rsidR="00CD2DB0" w:rsidRDefault="00CD2DB0" w:rsidP="00EC7173">
            <w:pPr>
              <w:rPr>
                <w:rFonts w:cstheme="minorHAnsi"/>
              </w:rPr>
            </w:pPr>
            <w:r w:rsidRPr="00CD2DB0">
              <w:rPr>
                <w:rFonts w:cstheme="minorHAnsi"/>
              </w:rPr>
              <w:t xml:space="preserve">Pls. clarify if you only need to know approx. production time for the materials. As for shipment it depends on the complexity and routes of each country (it varies from 30-70 days depends on where to send the goods to). For installation it also depends on the complexity and size of the systems and geographically where the sites are (island, </w:t>
            </w:r>
            <w:r w:rsidRPr="00CD2DB0">
              <w:rPr>
                <w:rFonts w:cstheme="minorHAnsi"/>
              </w:rPr>
              <w:lastRenderedPageBreak/>
              <w:t xml:space="preserve">jungle, </w:t>
            </w:r>
            <w:proofErr w:type="spellStart"/>
            <w:r w:rsidRPr="00CD2DB0">
              <w:rPr>
                <w:rFonts w:cstheme="minorHAnsi"/>
              </w:rPr>
              <w:t>etc</w:t>
            </w:r>
            <w:proofErr w:type="spellEnd"/>
            <w:r w:rsidRPr="00CD2DB0">
              <w:rPr>
                <w:rFonts w:cstheme="minorHAnsi"/>
              </w:rPr>
              <w:t>). Pls. clarify or provide a template for the Delivery schedule to be filled out.</w:t>
            </w:r>
          </w:p>
          <w:p w14:paraId="391D2E8B" w14:textId="5B90D0DC" w:rsidR="00E0338D" w:rsidRPr="00EC7173" w:rsidRDefault="00E0338D" w:rsidP="00EC7173">
            <w:pPr>
              <w:rPr>
                <w:rFonts w:cstheme="minorHAnsi"/>
              </w:rPr>
            </w:pPr>
          </w:p>
        </w:tc>
        <w:tc>
          <w:tcPr>
            <w:tcW w:w="5659" w:type="dxa"/>
            <w:shd w:val="clear" w:color="auto" w:fill="auto"/>
          </w:tcPr>
          <w:p w14:paraId="141C4507" w14:textId="5C327C64" w:rsidR="00D444EC" w:rsidRDefault="003C3861" w:rsidP="00EC7173">
            <w:pPr>
              <w:rPr>
                <w:rFonts w:cstheme="minorHAnsi"/>
              </w:rPr>
            </w:pPr>
            <w:r>
              <w:rPr>
                <w:rFonts w:cstheme="minorHAnsi"/>
              </w:rPr>
              <w:lastRenderedPageBreak/>
              <w:t xml:space="preserve">This </w:t>
            </w:r>
            <w:r w:rsidR="00D444EC">
              <w:rPr>
                <w:rFonts w:cstheme="minorHAnsi"/>
              </w:rPr>
              <w:t xml:space="preserve">item shall be applied for parts and pieces up to </w:t>
            </w:r>
            <w:r w:rsidR="00295292">
              <w:rPr>
                <w:rFonts w:cstheme="minorHAnsi"/>
              </w:rPr>
              <w:t>port f dispatch (FOB)</w:t>
            </w:r>
            <w:r w:rsidR="00D444EC">
              <w:rPr>
                <w:rFonts w:cstheme="minorHAnsi"/>
              </w:rPr>
              <w:t>.</w:t>
            </w:r>
          </w:p>
          <w:p w14:paraId="1F0E2EB6" w14:textId="77777777" w:rsidR="00D444EC" w:rsidRDefault="00D444EC" w:rsidP="00EC7173">
            <w:pPr>
              <w:rPr>
                <w:rFonts w:cstheme="minorHAnsi"/>
              </w:rPr>
            </w:pPr>
          </w:p>
          <w:p w14:paraId="4F626156" w14:textId="63F98AEC" w:rsidR="00EC7173" w:rsidRDefault="00D444EC" w:rsidP="00EC7173">
            <w:pPr>
              <w:rPr>
                <w:rFonts w:cstheme="minorHAnsi"/>
              </w:rPr>
            </w:pPr>
            <w:r>
              <w:rPr>
                <w:rFonts w:cstheme="minorHAnsi"/>
              </w:rPr>
              <w:t>For Appendix 9</w:t>
            </w:r>
            <w:r w:rsidR="00874133">
              <w:rPr>
                <w:rFonts w:cstheme="minorHAnsi"/>
              </w:rPr>
              <w:t xml:space="preserve"> (Scenario Based Requirements)</w:t>
            </w:r>
            <w:r>
              <w:rPr>
                <w:rFonts w:cstheme="minorHAnsi"/>
              </w:rPr>
              <w:t>, up to the project site.</w:t>
            </w:r>
          </w:p>
          <w:p w14:paraId="2F8F5906" w14:textId="2F5AF47E" w:rsidR="00D444EC" w:rsidRPr="00EC7173" w:rsidRDefault="00D444EC" w:rsidP="00EC7173">
            <w:pPr>
              <w:rPr>
                <w:rFonts w:cstheme="minorHAnsi"/>
              </w:rPr>
            </w:pPr>
          </w:p>
        </w:tc>
      </w:tr>
      <w:tr w:rsidR="00E0338D" w:rsidRPr="00073DA0" w14:paraId="12F1A698" w14:textId="77777777" w:rsidTr="00D40306">
        <w:tc>
          <w:tcPr>
            <w:tcW w:w="560" w:type="dxa"/>
          </w:tcPr>
          <w:p w14:paraId="3AB48742" w14:textId="3A2A68FB" w:rsidR="00E0338D" w:rsidRDefault="00D40306" w:rsidP="00FF78A9">
            <w:pPr>
              <w:jc w:val="center"/>
              <w:rPr>
                <w:rFonts w:cstheme="minorHAnsi"/>
              </w:rPr>
            </w:pPr>
            <w:r>
              <w:rPr>
                <w:rFonts w:cstheme="minorHAnsi"/>
              </w:rPr>
              <w:t>7.</w:t>
            </w:r>
          </w:p>
        </w:tc>
        <w:tc>
          <w:tcPr>
            <w:tcW w:w="4780" w:type="dxa"/>
          </w:tcPr>
          <w:p w14:paraId="2C4B9D09" w14:textId="77777777" w:rsidR="0062733B" w:rsidRDefault="00E0338D" w:rsidP="0062733B">
            <w:pPr>
              <w:rPr>
                <w:rFonts w:cstheme="minorHAnsi"/>
              </w:rPr>
            </w:pPr>
            <w:r w:rsidRPr="00E0338D">
              <w:rPr>
                <w:rFonts w:cstheme="minorHAnsi"/>
              </w:rPr>
              <w:t>Tier 1 Inverters (page 27 of Appendix 7)</w:t>
            </w:r>
            <w:r w:rsidR="0062733B" w:rsidRPr="00572D27">
              <w:rPr>
                <w:rFonts w:cstheme="minorHAnsi"/>
              </w:rPr>
              <w:t xml:space="preserve"> </w:t>
            </w:r>
          </w:p>
          <w:p w14:paraId="43950393" w14:textId="77777777" w:rsidR="0062733B" w:rsidRDefault="0062733B" w:rsidP="0062733B">
            <w:pPr>
              <w:rPr>
                <w:rFonts w:cstheme="minorHAnsi"/>
              </w:rPr>
            </w:pPr>
          </w:p>
          <w:p w14:paraId="12D0C268" w14:textId="6BD41E23" w:rsidR="0062733B" w:rsidRDefault="0062733B" w:rsidP="0062733B">
            <w:pPr>
              <w:rPr>
                <w:rFonts w:cstheme="minorHAnsi"/>
              </w:rPr>
            </w:pPr>
            <w:r w:rsidRPr="00572D27">
              <w:rPr>
                <w:rFonts w:cstheme="minorHAnsi"/>
              </w:rPr>
              <w:t>Q: We are not aware of inverters with Tier 1 classification. Can you kindly clarify this point?</w:t>
            </w:r>
          </w:p>
          <w:p w14:paraId="3AB5BD6D" w14:textId="6DBED576" w:rsidR="00E0338D" w:rsidRPr="00CD2DB0" w:rsidRDefault="00E0338D" w:rsidP="00EC7173">
            <w:pPr>
              <w:rPr>
                <w:rFonts w:cstheme="minorHAnsi"/>
              </w:rPr>
            </w:pPr>
          </w:p>
        </w:tc>
        <w:tc>
          <w:tcPr>
            <w:tcW w:w="5659" w:type="dxa"/>
            <w:shd w:val="clear" w:color="auto" w:fill="auto"/>
          </w:tcPr>
          <w:p w14:paraId="6930DF41" w14:textId="51B99EAD" w:rsidR="007D51E9" w:rsidRPr="00EC7173" w:rsidRDefault="007D51E9" w:rsidP="003C3861">
            <w:pPr>
              <w:rPr>
                <w:rFonts w:cstheme="minorHAnsi"/>
              </w:rPr>
            </w:pPr>
            <w:r>
              <w:rPr>
                <w:rFonts w:cstheme="minorHAnsi"/>
              </w:rPr>
              <w:t xml:space="preserve">The “Tier 1” product classification is a subjective denomination in the solar industry to indicate that the product is bankable and has been manufactured by the top industrial players. </w:t>
            </w:r>
            <w:r w:rsidR="003C3861">
              <w:rPr>
                <w:rFonts w:cstheme="minorHAnsi"/>
              </w:rPr>
              <w:t>Preferred s</w:t>
            </w:r>
            <w:r>
              <w:rPr>
                <w:rFonts w:cstheme="minorHAnsi"/>
              </w:rPr>
              <w:t xml:space="preserve">olar PV modules and inverters requested by UNICEF </w:t>
            </w:r>
            <w:r w:rsidR="003C3861">
              <w:rPr>
                <w:rFonts w:cstheme="minorHAnsi"/>
              </w:rPr>
              <w:t xml:space="preserve">are expected to </w:t>
            </w:r>
            <w:r>
              <w:rPr>
                <w:rFonts w:cstheme="minorHAnsi"/>
              </w:rPr>
              <w:t>belong to this “top 10” selected group of manufacturers</w:t>
            </w:r>
            <w:r w:rsidR="003C3861">
              <w:rPr>
                <w:rFonts w:cstheme="minorHAnsi"/>
              </w:rPr>
              <w:t>. However, to allow a better and transparent competition, UNICEF will also accept products from specialized niche suppliers, that are able to show an outstanding quality record, based on their project references, and availed quality and standard certifications.</w:t>
            </w:r>
          </w:p>
        </w:tc>
      </w:tr>
      <w:tr w:rsidR="00572D27" w:rsidRPr="00073DA0" w14:paraId="6E401E48" w14:textId="77777777" w:rsidTr="00D40306">
        <w:tc>
          <w:tcPr>
            <w:tcW w:w="560" w:type="dxa"/>
          </w:tcPr>
          <w:p w14:paraId="235959C8" w14:textId="6346BDA6" w:rsidR="00572D27" w:rsidRDefault="00D40306" w:rsidP="00FF78A9">
            <w:pPr>
              <w:jc w:val="center"/>
              <w:rPr>
                <w:rFonts w:cstheme="minorHAnsi"/>
              </w:rPr>
            </w:pPr>
            <w:r>
              <w:rPr>
                <w:rFonts w:cstheme="minorHAnsi"/>
              </w:rPr>
              <w:t>8.</w:t>
            </w:r>
          </w:p>
        </w:tc>
        <w:tc>
          <w:tcPr>
            <w:tcW w:w="4780" w:type="dxa"/>
          </w:tcPr>
          <w:p w14:paraId="5BA9E249" w14:textId="7C46F85A" w:rsidR="00572D27" w:rsidRDefault="0062733B" w:rsidP="00EC7173">
            <w:pPr>
              <w:rPr>
                <w:rFonts w:cstheme="minorHAnsi"/>
              </w:rPr>
            </w:pPr>
            <w:r w:rsidRPr="0062733B">
              <w:rPr>
                <w:rFonts w:cstheme="minorHAnsi"/>
              </w:rPr>
              <w:t>Operation &amp; Maintenance</w:t>
            </w:r>
          </w:p>
          <w:p w14:paraId="49B295A6" w14:textId="77777777" w:rsidR="0062733B" w:rsidRDefault="0062733B" w:rsidP="00EC7173">
            <w:pPr>
              <w:rPr>
                <w:rFonts w:cstheme="minorHAnsi"/>
              </w:rPr>
            </w:pPr>
          </w:p>
          <w:p w14:paraId="35D615E3" w14:textId="19AB30AB" w:rsidR="0062733B" w:rsidRPr="00E0338D" w:rsidRDefault="0062733B" w:rsidP="00EC7173">
            <w:pPr>
              <w:rPr>
                <w:rFonts w:cstheme="minorHAnsi"/>
              </w:rPr>
            </w:pPr>
            <w:r w:rsidRPr="0062733B">
              <w:rPr>
                <w:rFonts w:cstheme="minorHAnsi"/>
              </w:rPr>
              <w:t xml:space="preserve">Q: For LOT “Other Solar PV Alternative Financial Options”, can you kindly clarify to which degree the Operation &amp; Maintenance should be? Can the monitoring be done remotely, and a </w:t>
            </w:r>
            <w:r w:rsidR="0059268F" w:rsidRPr="0062733B">
              <w:rPr>
                <w:rFonts w:cstheme="minorHAnsi"/>
              </w:rPr>
              <w:t>licensed</w:t>
            </w:r>
            <w:r w:rsidRPr="0062733B">
              <w:rPr>
                <w:rFonts w:cstheme="minorHAnsi"/>
              </w:rPr>
              <w:t xml:space="preserve"> local partner activated in case of anomalies and/or malfunctions?</w:t>
            </w:r>
          </w:p>
        </w:tc>
        <w:tc>
          <w:tcPr>
            <w:tcW w:w="5659" w:type="dxa"/>
            <w:shd w:val="clear" w:color="auto" w:fill="auto"/>
          </w:tcPr>
          <w:p w14:paraId="12C2ACBC" w14:textId="77777777" w:rsidR="00572D27" w:rsidRDefault="007D51E9" w:rsidP="00EC7173">
            <w:pPr>
              <w:rPr>
                <w:rFonts w:cstheme="minorHAnsi"/>
              </w:rPr>
            </w:pPr>
            <w:r>
              <w:rPr>
                <w:rFonts w:cstheme="minorHAnsi"/>
              </w:rPr>
              <w:t>The degree of O&amp;M can be either remote or on site.</w:t>
            </w:r>
          </w:p>
          <w:p w14:paraId="41AB8916" w14:textId="77777777" w:rsidR="007D51E9" w:rsidRDefault="007D51E9" w:rsidP="00EC7173">
            <w:pPr>
              <w:rPr>
                <w:rFonts w:cstheme="minorHAnsi"/>
              </w:rPr>
            </w:pPr>
          </w:p>
          <w:p w14:paraId="1C702C14" w14:textId="1657CEF7" w:rsidR="007D51E9" w:rsidRDefault="007D51E9" w:rsidP="00EC7173">
            <w:pPr>
              <w:rPr>
                <w:rFonts w:cstheme="minorHAnsi"/>
              </w:rPr>
            </w:pPr>
            <w:r>
              <w:rPr>
                <w:rFonts w:cstheme="minorHAnsi"/>
              </w:rPr>
              <w:t>The bidder should propose their own strategy and plan.</w:t>
            </w:r>
          </w:p>
          <w:p w14:paraId="71128333" w14:textId="5615C695" w:rsidR="007D51E9" w:rsidRPr="00572D27" w:rsidRDefault="007D51E9" w:rsidP="00EC7173">
            <w:pPr>
              <w:rPr>
                <w:rFonts w:cstheme="minorHAnsi"/>
              </w:rPr>
            </w:pPr>
          </w:p>
        </w:tc>
      </w:tr>
      <w:tr w:rsidR="0062733B" w:rsidRPr="00073DA0" w14:paraId="0346F37E" w14:textId="77777777" w:rsidTr="00D40306">
        <w:tc>
          <w:tcPr>
            <w:tcW w:w="560" w:type="dxa"/>
          </w:tcPr>
          <w:p w14:paraId="6AD440D4" w14:textId="410EAD42" w:rsidR="0062733B" w:rsidRDefault="00D40306" w:rsidP="00FF78A9">
            <w:pPr>
              <w:jc w:val="center"/>
              <w:rPr>
                <w:rFonts w:cstheme="minorHAnsi"/>
              </w:rPr>
            </w:pPr>
            <w:r>
              <w:rPr>
                <w:rFonts w:cstheme="minorHAnsi"/>
              </w:rPr>
              <w:t>9.</w:t>
            </w:r>
          </w:p>
        </w:tc>
        <w:tc>
          <w:tcPr>
            <w:tcW w:w="4780" w:type="dxa"/>
          </w:tcPr>
          <w:p w14:paraId="230769E4" w14:textId="77777777" w:rsidR="0062733B" w:rsidRDefault="007F0A8E" w:rsidP="00EC7173">
            <w:pPr>
              <w:rPr>
                <w:rFonts w:cstheme="minorHAnsi"/>
              </w:rPr>
            </w:pPr>
            <w:r w:rsidRPr="007F0A8E">
              <w:rPr>
                <w:rFonts w:cstheme="minorHAnsi"/>
              </w:rPr>
              <w:t>Operation &amp; Maintenance</w:t>
            </w:r>
          </w:p>
          <w:p w14:paraId="45C1DB73" w14:textId="77777777" w:rsidR="007F0A8E" w:rsidRDefault="007F0A8E" w:rsidP="00EC7173">
            <w:pPr>
              <w:rPr>
                <w:rFonts w:cstheme="minorHAnsi"/>
              </w:rPr>
            </w:pPr>
          </w:p>
          <w:p w14:paraId="729FFAA1" w14:textId="77777777" w:rsidR="007F0A8E" w:rsidRDefault="007F0A8E" w:rsidP="00EC7173">
            <w:pPr>
              <w:rPr>
                <w:rFonts w:cstheme="minorHAnsi"/>
              </w:rPr>
            </w:pPr>
            <w:r w:rsidRPr="007F0A8E">
              <w:rPr>
                <w:rFonts w:cstheme="minorHAnsi"/>
              </w:rPr>
              <w:t>Q: Is it the Vendor’s responsibility for the full operation of the Solar System? Or can the vendor train the end-user for operations?</w:t>
            </w:r>
          </w:p>
          <w:p w14:paraId="6BC7F7CE" w14:textId="50A8B120" w:rsidR="00D92ADE" w:rsidRPr="0062733B" w:rsidRDefault="00D92ADE" w:rsidP="00EC7173">
            <w:pPr>
              <w:rPr>
                <w:rFonts w:cstheme="minorHAnsi"/>
              </w:rPr>
            </w:pPr>
          </w:p>
        </w:tc>
        <w:tc>
          <w:tcPr>
            <w:tcW w:w="5659" w:type="dxa"/>
            <w:shd w:val="clear" w:color="auto" w:fill="auto"/>
          </w:tcPr>
          <w:p w14:paraId="2EFF26FA" w14:textId="77777777" w:rsidR="0062733B" w:rsidRDefault="00643368" w:rsidP="00EC7173">
            <w:pPr>
              <w:rPr>
                <w:rFonts w:cstheme="minorHAnsi"/>
              </w:rPr>
            </w:pPr>
            <w:r>
              <w:rPr>
                <w:rFonts w:cstheme="minorHAnsi"/>
              </w:rPr>
              <w:t>The vendor has the freedom to offer both modalities.</w:t>
            </w:r>
          </w:p>
          <w:p w14:paraId="717A7E2A" w14:textId="359EFA90" w:rsidR="00643368" w:rsidRPr="00572D27" w:rsidRDefault="00643368" w:rsidP="00EC7173">
            <w:pPr>
              <w:rPr>
                <w:rFonts w:cstheme="minorHAnsi"/>
              </w:rPr>
            </w:pPr>
          </w:p>
        </w:tc>
      </w:tr>
      <w:tr w:rsidR="00D92ADE" w:rsidRPr="00D444EC" w14:paraId="2C159C11" w14:textId="77777777" w:rsidTr="00D40306">
        <w:tc>
          <w:tcPr>
            <w:tcW w:w="560" w:type="dxa"/>
          </w:tcPr>
          <w:p w14:paraId="029C1FD6" w14:textId="77BBB989" w:rsidR="00D92ADE" w:rsidRDefault="00D40306" w:rsidP="00FF78A9">
            <w:pPr>
              <w:jc w:val="center"/>
              <w:rPr>
                <w:rFonts w:cstheme="minorHAnsi"/>
              </w:rPr>
            </w:pPr>
            <w:r>
              <w:rPr>
                <w:rFonts w:cstheme="minorHAnsi"/>
              </w:rPr>
              <w:t>10.</w:t>
            </w:r>
          </w:p>
        </w:tc>
        <w:tc>
          <w:tcPr>
            <w:tcW w:w="4780" w:type="dxa"/>
          </w:tcPr>
          <w:p w14:paraId="7AC410A9" w14:textId="77777777" w:rsidR="00D92ADE" w:rsidRDefault="00D92ADE" w:rsidP="00EC7173">
            <w:pPr>
              <w:rPr>
                <w:rFonts w:cstheme="minorHAnsi"/>
              </w:rPr>
            </w:pPr>
            <w:r w:rsidRPr="00D92ADE">
              <w:rPr>
                <w:rFonts w:cstheme="minorHAnsi"/>
              </w:rPr>
              <w:t>Appendix 6 &amp; Appendix 7 specifications for designing the scenario-based proposal</w:t>
            </w:r>
          </w:p>
          <w:p w14:paraId="38682144" w14:textId="77777777" w:rsidR="00D92ADE" w:rsidRDefault="00D92ADE" w:rsidP="00EC7173">
            <w:pPr>
              <w:rPr>
                <w:rFonts w:cstheme="minorHAnsi"/>
              </w:rPr>
            </w:pPr>
          </w:p>
          <w:p w14:paraId="13E96B34" w14:textId="77777777" w:rsidR="00D92ADE" w:rsidRPr="00D92ADE" w:rsidRDefault="00D92ADE" w:rsidP="00D92ADE">
            <w:pPr>
              <w:rPr>
                <w:rFonts w:cstheme="minorHAnsi"/>
              </w:rPr>
            </w:pPr>
            <w:r w:rsidRPr="00D92ADE">
              <w:rPr>
                <w:rFonts w:cstheme="minorHAnsi"/>
              </w:rPr>
              <w:t>Q: The specifications and requirements in Appendix 6 and Appendix 7 are different. For example, in Appendix 6 the required European Standard efficiency for the inverters should be higher than 96% (page 22) and in Appendix 7 states it needs to be higher than 98% (page 27).</w:t>
            </w:r>
          </w:p>
          <w:p w14:paraId="48420777" w14:textId="77777777" w:rsidR="00D92ADE" w:rsidRDefault="00D92ADE" w:rsidP="00D92ADE">
            <w:pPr>
              <w:rPr>
                <w:rFonts w:cstheme="minorHAnsi"/>
              </w:rPr>
            </w:pPr>
            <w:r w:rsidRPr="00D92ADE">
              <w:rPr>
                <w:rFonts w:cstheme="minorHAnsi"/>
              </w:rPr>
              <w:t>Kindly clarify which one should be followed for the scenario-based design.</w:t>
            </w:r>
          </w:p>
          <w:p w14:paraId="3A7E0812" w14:textId="48FA6002" w:rsidR="00D92ADE" w:rsidRPr="007F0A8E" w:rsidRDefault="00D92ADE" w:rsidP="00D92ADE">
            <w:pPr>
              <w:rPr>
                <w:rFonts w:cstheme="minorHAnsi"/>
              </w:rPr>
            </w:pPr>
          </w:p>
        </w:tc>
        <w:tc>
          <w:tcPr>
            <w:tcW w:w="5659" w:type="dxa"/>
            <w:shd w:val="clear" w:color="auto" w:fill="auto"/>
          </w:tcPr>
          <w:p w14:paraId="7E62E85A" w14:textId="77777777" w:rsidR="00D444EC" w:rsidRPr="002C320A" w:rsidRDefault="00D444EC" w:rsidP="00D444EC">
            <w:pPr>
              <w:rPr>
                <w:rFonts w:cstheme="minorHAnsi"/>
                <w:b/>
                <w:bCs/>
              </w:rPr>
            </w:pPr>
            <w:r w:rsidRPr="002C320A">
              <w:rPr>
                <w:rFonts w:cstheme="minorHAnsi"/>
                <w:b/>
                <w:bCs/>
              </w:rPr>
              <w:t>Amendment valid for the whole Tender Dossier:</w:t>
            </w:r>
          </w:p>
          <w:p w14:paraId="3C79AE0B" w14:textId="77777777" w:rsidR="00D92ADE" w:rsidRPr="00D444EC" w:rsidRDefault="00D92ADE" w:rsidP="00EC7173">
            <w:pPr>
              <w:rPr>
                <w:rFonts w:cstheme="minorHAnsi"/>
              </w:rPr>
            </w:pPr>
          </w:p>
          <w:p w14:paraId="10085E48" w14:textId="1215ACB1" w:rsidR="00D444EC" w:rsidRPr="00D444EC" w:rsidRDefault="00D444EC" w:rsidP="00EC7173">
            <w:pPr>
              <w:rPr>
                <w:rFonts w:cstheme="minorHAnsi"/>
              </w:rPr>
            </w:pPr>
            <w:r w:rsidRPr="00D444EC">
              <w:rPr>
                <w:rFonts w:cstheme="minorHAnsi"/>
              </w:rPr>
              <w:t xml:space="preserve">“European inverter efficiency shall be higher than ninety-six percent (96%)” </w:t>
            </w:r>
          </w:p>
        </w:tc>
      </w:tr>
      <w:tr w:rsidR="00AF3109" w:rsidRPr="00073DA0" w14:paraId="6EEF207B" w14:textId="77777777" w:rsidTr="00D40306">
        <w:tc>
          <w:tcPr>
            <w:tcW w:w="560" w:type="dxa"/>
          </w:tcPr>
          <w:p w14:paraId="10E1E310" w14:textId="1979D7A5" w:rsidR="00AF3109" w:rsidRDefault="00D40306" w:rsidP="00FF78A9">
            <w:pPr>
              <w:jc w:val="center"/>
              <w:rPr>
                <w:rFonts w:cstheme="minorHAnsi"/>
              </w:rPr>
            </w:pPr>
            <w:r>
              <w:rPr>
                <w:rFonts w:cstheme="minorHAnsi"/>
              </w:rPr>
              <w:t>11.</w:t>
            </w:r>
          </w:p>
        </w:tc>
        <w:tc>
          <w:tcPr>
            <w:tcW w:w="4780" w:type="dxa"/>
          </w:tcPr>
          <w:p w14:paraId="3B26976C" w14:textId="77777777" w:rsidR="00AF3109" w:rsidRDefault="00AF3109" w:rsidP="00EC7173">
            <w:pPr>
              <w:rPr>
                <w:rFonts w:cstheme="minorHAnsi"/>
              </w:rPr>
            </w:pPr>
            <w:r w:rsidRPr="00AF3109">
              <w:rPr>
                <w:rFonts w:cstheme="minorHAnsi"/>
              </w:rPr>
              <w:t>Requirements to be followed for the Appendix 9 Scenario-Based.</w:t>
            </w:r>
          </w:p>
          <w:p w14:paraId="5D7CCA45" w14:textId="77777777" w:rsidR="00AF3109" w:rsidRDefault="00AF3109" w:rsidP="00EC7173">
            <w:pPr>
              <w:rPr>
                <w:rFonts w:cstheme="minorHAnsi"/>
              </w:rPr>
            </w:pPr>
          </w:p>
          <w:p w14:paraId="089250AB" w14:textId="77777777" w:rsidR="00AF3109" w:rsidRPr="00AF3109" w:rsidRDefault="00AF3109" w:rsidP="00AF3109">
            <w:pPr>
              <w:rPr>
                <w:rFonts w:cstheme="minorHAnsi"/>
              </w:rPr>
            </w:pPr>
            <w:r w:rsidRPr="00AF3109">
              <w:rPr>
                <w:rFonts w:cstheme="minorHAnsi"/>
              </w:rPr>
              <w:t>Q: The Technical Requirements presented in Appendix B and Appendix 7 seem to be conflicting in some components.</w:t>
            </w:r>
          </w:p>
          <w:p w14:paraId="702D6A6A" w14:textId="77777777" w:rsidR="00AF3109" w:rsidRPr="00AF3109" w:rsidRDefault="00AF3109" w:rsidP="00AF3109">
            <w:pPr>
              <w:rPr>
                <w:rFonts w:cstheme="minorHAnsi"/>
              </w:rPr>
            </w:pPr>
            <w:r w:rsidRPr="00AF3109">
              <w:rPr>
                <w:rFonts w:cstheme="minorHAnsi"/>
              </w:rPr>
              <w:t>For example, the wind load for the mounting structures have the following requirements:</w:t>
            </w:r>
          </w:p>
          <w:p w14:paraId="19584A7D" w14:textId="77777777" w:rsidR="00AF3109" w:rsidRPr="00AF3109" w:rsidRDefault="00AF3109" w:rsidP="00AF3109">
            <w:pPr>
              <w:rPr>
                <w:rFonts w:cstheme="minorHAnsi"/>
              </w:rPr>
            </w:pPr>
            <w:r w:rsidRPr="00AF3109">
              <w:rPr>
                <w:rFonts w:cstheme="minorHAnsi"/>
              </w:rPr>
              <w:t>• 140km/h in Appendix B, page 24</w:t>
            </w:r>
          </w:p>
          <w:p w14:paraId="6B2E5920" w14:textId="77777777" w:rsidR="00AF3109" w:rsidRPr="00AF3109" w:rsidRDefault="00AF3109" w:rsidP="00AF3109">
            <w:pPr>
              <w:rPr>
                <w:rFonts w:cstheme="minorHAnsi"/>
              </w:rPr>
            </w:pPr>
            <w:r w:rsidRPr="00AF3109">
              <w:rPr>
                <w:rFonts w:cstheme="minorHAnsi"/>
              </w:rPr>
              <w:t>• 150km/h in Appendix B, page 28, table A.6.7</w:t>
            </w:r>
          </w:p>
          <w:p w14:paraId="6C1E17E9" w14:textId="77777777" w:rsidR="00AF3109" w:rsidRPr="00AF3109" w:rsidRDefault="00AF3109" w:rsidP="00AF3109">
            <w:pPr>
              <w:rPr>
                <w:rFonts w:cstheme="minorHAnsi"/>
              </w:rPr>
            </w:pPr>
            <w:r w:rsidRPr="00AF3109">
              <w:rPr>
                <w:rFonts w:cstheme="minorHAnsi"/>
              </w:rPr>
              <w:t>• 180km/h in Appendix 7, page 26, Schedule 3</w:t>
            </w:r>
          </w:p>
          <w:p w14:paraId="59882613" w14:textId="77777777" w:rsidR="00AF3109" w:rsidRPr="00AF3109" w:rsidRDefault="00AF3109" w:rsidP="00AF3109">
            <w:pPr>
              <w:rPr>
                <w:rFonts w:cstheme="minorHAnsi"/>
              </w:rPr>
            </w:pPr>
            <w:r w:rsidRPr="00AF3109">
              <w:rPr>
                <w:rFonts w:cstheme="minorHAnsi"/>
              </w:rPr>
              <w:t>• And 200km/h in Appendix 9, table A9.2</w:t>
            </w:r>
          </w:p>
          <w:p w14:paraId="2D6D3FE6" w14:textId="77777777" w:rsidR="00AF3109" w:rsidRDefault="00AF3109" w:rsidP="00AF3109">
            <w:pPr>
              <w:rPr>
                <w:rFonts w:cstheme="minorHAnsi"/>
              </w:rPr>
            </w:pPr>
            <w:r w:rsidRPr="00AF3109">
              <w:rPr>
                <w:rFonts w:cstheme="minorHAnsi"/>
              </w:rPr>
              <w:t>Kindly clarify which technical requirements should be followed.</w:t>
            </w:r>
          </w:p>
          <w:p w14:paraId="44D0A112" w14:textId="70B6BC93" w:rsidR="00370392" w:rsidRPr="00D92ADE" w:rsidRDefault="00370392" w:rsidP="00AF3109">
            <w:pPr>
              <w:rPr>
                <w:rFonts w:cstheme="minorHAnsi"/>
              </w:rPr>
            </w:pPr>
          </w:p>
        </w:tc>
        <w:tc>
          <w:tcPr>
            <w:tcW w:w="5659" w:type="dxa"/>
            <w:shd w:val="clear" w:color="auto" w:fill="auto"/>
          </w:tcPr>
          <w:p w14:paraId="3EADED10" w14:textId="7AC73113" w:rsidR="003C3861" w:rsidRPr="002C320A" w:rsidRDefault="003C3861" w:rsidP="003C3861">
            <w:pPr>
              <w:rPr>
                <w:rFonts w:cstheme="minorHAnsi"/>
                <w:b/>
                <w:bCs/>
              </w:rPr>
            </w:pPr>
            <w:r w:rsidRPr="002C320A">
              <w:rPr>
                <w:rFonts w:cstheme="minorHAnsi"/>
                <w:b/>
                <w:bCs/>
              </w:rPr>
              <w:t>Amendment valid for the whole Tender Dossier:</w:t>
            </w:r>
          </w:p>
          <w:p w14:paraId="46B2946C" w14:textId="77777777" w:rsidR="00643368" w:rsidRDefault="00643368" w:rsidP="003C3861">
            <w:pPr>
              <w:rPr>
                <w:rFonts w:cstheme="minorHAnsi"/>
              </w:rPr>
            </w:pPr>
          </w:p>
          <w:p w14:paraId="184A7B5C" w14:textId="7C739FD2" w:rsidR="003C3861" w:rsidRDefault="00643368" w:rsidP="003C3861">
            <w:pPr>
              <w:rPr>
                <w:rFonts w:cstheme="minorHAnsi"/>
              </w:rPr>
            </w:pPr>
            <w:r>
              <w:rPr>
                <w:rFonts w:cstheme="minorHAnsi"/>
              </w:rPr>
              <w:t>The wind load to be considered is “one-hundred-and-fifty kilometers per hour” (150</w:t>
            </w:r>
            <w:r w:rsidR="003C3861">
              <w:rPr>
                <w:rFonts w:cstheme="minorHAnsi"/>
              </w:rPr>
              <w:t>km/h</w:t>
            </w:r>
            <w:r>
              <w:rPr>
                <w:rFonts w:cstheme="minorHAnsi"/>
              </w:rPr>
              <w:t>)”</w:t>
            </w:r>
          </w:p>
          <w:p w14:paraId="12C01B97" w14:textId="12C143C1" w:rsidR="003C3861" w:rsidRPr="00572D27" w:rsidRDefault="003C3861" w:rsidP="003C3861">
            <w:pPr>
              <w:rPr>
                <w:rFonts w:cstheme="minorHAnsi"/>
              </w:rPr>
            </w:pPr>
          </w:p>
        </w:tc>
      </w:tr>
      <w:tr w:rsidR="007D51E9" w:rsidRPr="007D51E9" w14:paraId="0C35381F" w14:textId="77777777" w:rsidTr="00D40306">
        <w:tc>
          <w:tcPr>
            <w:tcW w:w="560" w:type="dxa"/>
          </w:tcPr>
          <w:p w14:paraId="7FECC6C2" w14:textId="7B3891C4" w:rsidR="00370392" w:rsidRDefault="00D40306" w:rsidP="00FF78A9">
            <w:pPr>
              <w:jc w:val="center"/>
              <w:rPr>
                <w:rFonts w:cstheme="minorHAnsi"/>
              </w:rPr>
            </w:pPr>
            <w:r>
              <w:rPr>
                <w:rFonts w:cstheme="minorHAnsi"/>
              </w:rPr>
              <w:lastRenderedPageBreak/>
              <w:t>12.</w:t>
            </w:r>
          </w:p>
        </w:tc>
        <w:tc>
          <w:tcPr>
            <w:tcW w:w="4780" w:type="dxa"/>
          </w:tcPr>
          <w:p w14:paraId="2E8F423B" w14:textId="77777777" w:rsidR="00370392" w:rsidRDefault="00370392" w:rsidP="00EC7173">
            <w:pPr>
              <w:rPr>
                <w:rFonts w:cstheme="minorHAnsi"/>
              </w:rPr>
            </w:pPr>
            <w:r w:rsidRPr="00370392">
              <w:rPr>
                <w:rFonts w:cstheme="minorHAnsi"/>
              </w:rPr>
              <w:t>Battery Energy Storage System</w:t>
            </w:r>
          </w:p>
          <w:p w14:paraId="386565C5" w14:textId="77777777" w:rsidR="00370392" w:rsidRDefault="00370392" w:rsidP="00EC7173">
            <w:pPr>
              <w:rPr>
                <w:rFonts w:cstheme="minorHAnsi"/>
              </w:rPr>
            </w:pPr>
          </w:p>
          <w:p w14:paraId="671814D1" w14:textId="77777777" w:rsidR="00370392" w:rsidRDefault="00370392" w:rsidP="00EC7173">
            <w:pPr>
              <w:rPr>
                <w:rFonts w:cstheme="minorHAnsi"/>
              </w:rPr>
            </w:pPr>
            <w:r w:rsidRPr="00370392">
              <w:rPr>
                <w:rFonts w:cstheme="minorHAnsi"/>
              </w:rPr>
              <w:t>Q: Kindly clarify provide extra details about the condition on table A.6.6 on page 28 of Annex B for EUROBAT Norm.</w:t>
            </w:r>
          </w:p>
          <w:p w14:paraId="39920DDE" w14:textId="487FBA3A" w:rsidR="00221DD2" w:rsidRPr="00AF3109" w:rsidRDefault="00221DD2" w:rsidP="00EC7173">
            <w:pPr>
              <w:rPr>
                <w:rFonts w:cstheme="minorHAnsi"/>
              </w:rPr>
            </w:pPr>
          </w:p>
        </w:tc>
        <w:tc>
          <w:tcPr>
            <w:tcW w:w="5659" w:type="dxa"/>
            <w:shd w:val="clear" w:color="auto" w:fill="auto"/>
          </w:tcPr>
          <w:p w14:paraId="332ACE33" w14:textId="05CEC93F" w:rsidR="007D51E9" w:rsidRPr="007D51E9" w:rsidRDefault="007D51E9" w:rsidP="007D51E9">
            <w:pPr>
              <w:rPr>
                <w:rFonts w:cstheme="minorHAnsi"/>
              </w:rPr>
            </w:pPr>
            <w:r w:rsidRPr="007D51E9">
              <w:rPr>
                <w:rFonts w:cstheme="minorHAnsi"/>
              </w:rPr>
              <w:t xml:space="preserve">UNICEF recommends </w:t>
            </w:r>
            <w:r>
              <w:rPr>
                <w:rFonts w:cstheme="minorHAnsi"/>
              </w:rPr>
              <w:t xml:space="preserve">the bidders not familiar with storage systems </w:t>
            </w:r>
            <w:r w:rsidRPr="007D51E9">
              <w:rPr>
                <w:rFonts w:cstheme="minorHAnsi"/>
              </w:rPr>
              <w:t>to purchase the EUROBAT norm for more details.</w:t>
            </w:r>
          </w:p>
        </w:tc>
      </w:tr>
      <w:tr w:rsidR="00221DD2" w:rsidRPr="00073DA0" w14:paraId="5AB97FD3" w14:textId="77777777" w:rsidTr="00D40306">
        <w:tc>
          <w:tcPr>
            <w:tcW w:w="560" w:type="dxa"/>
          </w:tcPr>
          <w:p w14:paraId="1C6ACC12" w14:textId="5331A64C" w:rsidR="00221DD2" w:rsidRDefault="00D40306" w:rsidP="00FF78A9">
            <w:pPr>
              <w:jc w:val="center"/>
              <w:rPr>
                <w:rFonts w:cstheme="minorHAnsi"/>
              </w:rPr>
            </w:pPr>
            <w:r>
              <w:rPr>
                <w:rFonts w:cstheme="minorHAnsi"/>
              </w:rPr>
              <w:t>13.</w:t>
            </w:r>
          </w:p>
        </w:tc>
        <w:tc>
          <w:tcPr>
            <w:tcW w:w="4780" w:type="dxa"/>
          </w:tcPr>
          <w:p w14:paraId="6C79F531" w14:textId="77777777" w:rsidR="00221DD2" w:rsidRDefault="00221DD2" w:rsidP="00EC7173">
            <w:pPr>
              <w:rPr>
                <w:rFonts w:cstheme="minorHAnsi"/>
              </w:rPr>
            </w:pPr>
            <w:r w:rsidRPr="00221DD2">
              <w:rPr>
                <w:rFonts w:cstheme="minorHAnsi"/>
              </w:rPr>
              <w:t>PV modules maximum system voltage</w:t>
            </w:r>
          </w:p>
          <w:p w14:paraId="7401511D" w14:textId="77777777" w:rsidR="00221DD2" w:rsidRDefault="00221DD2" w:rsidP="00EC7173">
            <w:pPr>
              <w:rPr>
                <w:rFonts w:cstheme="minorHAnsi"/>
              </w:rPr>
            </w:pPr>
          </w:p>
          <w:p w14:paraId="2FED807F" w14:textId="77777777" w:rsidR="00A22F4A" w:rsidRDefault="00221DD2" w:rsidP="00EC7173">
            <w:pPr>
              <w:rPr>
                <w:rFonts w:cstheme="minorHAnsi"/>
              </w:rPr>
            </w:pPr>
            <w:r w:rsidRPr="00221DD2">
              <w:rPr>
                <w:rFonts w:cstheme="minorHAnsi"/>
              </w:rPr>
              <w:t xml:space="preserve">Q: In Appendix 6 (page 21), the maximum voltage for the PV module should not exceed 1000V. </w:t>
            </w:r>
          </w:p>
          <w:p w14:paraId="120250D7" w14:textId="77777777" w:rsidR="007D51E9" w:rsidRDefault="007D51E9" w:rsidP="00EC7173">
            <w:pPr>
              <w:rPr>
                <w:rFonts w:cstheme="minorHAnsi"/>
              </w:rPr>
            </w:pPr>
          </w:p>
          <w:p w14:paraId="48239AD1" w14:textId="736222DD" w:rsidR="00221DD2" w:rsidRPr="00370392" w:rsidRDefault="00221DD2" w:rsidP="00EC7173">
            <w:pPr>
              <w:rPr>
                <w:rFonts w:cstheme="minorHAnsi"/>
              </w:rPr>
            </w:pPr>
            <w:r w:rsidRPr="00221DD2">
              <w:rPr>
                <w:rFonts w:cstheme="minorHAnsi"/>
              </w:rPr>
              <w:t>With the increasing development of the technology, panels can now have up to 1500V. Is it possible to offer panels with up to 1500V maximum voltage considering that we assure a maximum voltage of the system of 1000V? Kindly clarify this point.</w:t>
            </w:r>
          </w:p>
        </w:tc>
        <w:tc>
          <w:tcPr>
            <w:tcW w:w="5659" w:type="dxa"/>
            <w:tcBorders>
              <w:bottom w:val="single" w:sz="4" w:space="0" w:color="auto"/>
            </w:tcBorders>
            <w:shd w:val="clear" w:color="auto" w:fill="auto"/>
          </w:tcPr>
          <w:p w14:paraId="48F58CC0" w14:textId="77777777" w:rsidR="00A22F4A" w:rsidRPr="002C320A" w:rsidRDefault="00A22F4A" w:rsidP="00A22F4A">
            <w:pPr>
              <w:rPr>
                <w:rFonts w:cstheme="minorHAnsi"/>
                <w:b/>
                <w:bCs/>
              </w:rPr>
            </w:pPr>
            <w:r w:rsidRPr="002C320A">
              <w:rPr>
                <w:rFonts w:cstheme="minorHAnsi"/>
                <w:b/>
                <w:bCs/>
              </w:rPr>
              <w:t>Amendment valid for the whole Tender Dossier:</w:t>
            </w:r>
          </w:p>
          <w:p w14:paraId="0F25797F" w14:textId="77777777" w:rsidR="00A22F4A" w:rsidRDefault="00A22F4A" w:rsidP="00A22F4A">
            <w:pPr>
              <w:rPr>
                <w:rFonts w:cstheme="minorHAnsi"/>
              </w:rPr>
            </w:pPr>
          </w:p>
          <w:p w14:paraId="18F71A52" w14:textId="6E275109" w:rsidR="00A22F4A" w:rsidRPr="00572D27" w:rsidRDefault="00A22F4A" w:rsidP="00A22F4A">
            <w:pPr>
              <w:rPr>
                <w:rFonts w:cstheme="minorHAnsi"/>
              </w:rPr>
            </w:pPr>
            <w:r>
              <w:rPr>
                <w:rFonts w:cstheme="minorHAnsi"/>
              </w:rPr>
              <w:t xml:space="preserve">“The maximum voltage of the solar PV module </w:t>
            </w:r>
            <w:r w:rsidR="007D51E9">
              <w:rPr>
                <w:rFonts w:cstheme="minorHAnsi"/>
              </w:rPr>
              <w:t xml:space="preserve">can be up to </w:t>
            </w:r>
            <w:r>
              <w:rPr>
                <w:rFonts w:cstheme="minorHAnsi"/>
              </w:rPr>
              <w:t>1,500 V</w:t>
            </w:r>
            <w:r w:rsidR="007D51E9">
              <w:rPr>
                <w:rFonts w:cstheme="minorHAnsi"/>
              </w:rPr>
              <w:t>”</w:t>
            </w:r>
          </w:p>
        </w:tc>
      </w:tr>
      <w:tr w:rsidR="00A22F4A" w:rsidRPr="00A22F4A" w14:paraId="3B3D775F" w14:textId="77777777" w:rsidTr="00D40306">
        <w:tc>
          <w:tcPr>
            <w:tcW w:w="560" w:type="dxa"/>
          </w:tcPr>
          <w:p w14:paraId="32599A3B" w14:textId="30FE8ABC" w:rsidR="008D545A" w:rsidRDefault="00D40306" w:rsidP="00FF78A9">
            <w:pPr>
              <w:jc w:val="center"/>
              <w:rPr>
                <w:rFonts w:cstheme="minorHAnsi"/>
              </w:rPr>
            </w:pPr>
            <w:r>
              <w:rPr>
                <w:rFonts w:cstheme="minorHAnsi"/>
              </w:rPr>
              <w:t>14.</w:t>
            </w:r>
          </w:p>
        </w:tc>
        <w:tc>
          <w:tcPr>
            <w:tcW w:w="4780" w:type="dxa"/>
            <w:shd w:val="clear" w:color="auto" w:fill="auto"/>
          </w:tcPr>
          <w:p w14:paraId="22AD9BA5" w14:textId="3C69E5EF" w:rsidR="008D545A" w:rsidRDefault="008D545A" w:rsidP="00EC7173">
            <w:pPr>
              <w:rPr>
                <w:rFonts w:cstheme="minorHAnsi"/>
              </w:rPr>
            </w:pPr>
            <w:r w:rsidRPr="008D545A">
              <w:rPr>
                <w:rFonts w:cstheme="minorHAnsi"/>
              </w:rPr>
              <w:t xml:space="preserve">Appendix 9 </w:t>
            </w:r>
            <w:r w:rsidR="00D40306">
              <w:rPr>
                <w:rFonts w:cstheme="minorHAnsi"/>
              </w:rPr>
              <w:t>-</w:t>
            </w:r>
            <w:r w:rsidRPr="008D545A">
              <w:rPr>
                <w:rFonts w:cstheme="minorHAnsi"/>
              </w:rPr>
              <w:t xml:space="preserve"> Energy consumption and/or loads information</w:t>
            </w:r>
          </w:p>
          <w:p w14:paraId="14139ED8" w14:textId="77777777" w:rsidR="008D545A" w:rsidRDefault="008D545A" w:rsidP="00EC7173">
            <w:pPr>
              <w:rPr>
                <w:rFonts w:cstheme="minorHAnsi"/>
              </w:rPr>
            </w:pPr>
          </w:p>
          <w:p w14:paraId="327E8FB8" w14:textId="45A6D48C" w:rsidR="008D545A" w:rsidRPr="00221DD2" w:rsidRDefault="008D545A" w:rsidP="00EC7173">
            <w:pPr>
              <w:rPr>
                <w:rFonts w:cstheme="minorHAnsi"/>
              </w:rPr>
            </w:pPr>
            <w:r w:rsidRPr="008D545A">
              <w:rPr>
                <w:rFonts w:cstheme="minorHAnsi"/>
              </w:rPr>
              <w:t>Q: Kindly provide more detail information about the load for the Scenario-based (Appendix 9), i.e. the daily consumption of the office or the hourly consumption.</w:t>
            </w:r>
          </w:p>
        </w:tc>
        <w:tc>
          <w:tcPr>
            <w:tcW w:w="5659" w:type="dxa"/>
            <w:shd w:val="clear" w:color="auto" w:fill="auto"/>
          </w:tcPr>
          <w:p w14:paraId="59ECC504" w14:textId="3282AC3D" w:rsidR="00BD6D4D" w:rsidRDefault="00BD6D4D" w:rsidP="00BD6D4D">
            <w:r>
              <w:t xml:space="preserve">The daily power consumption is 464 kWh, which is rounded up to 500 kWh, therefore 15,000 kWh per month. Please find attached load profile of the office. </w:t>
            </w:r>
          </w:p>
          <w:p w14:paraId="3C5C47DB" w14:textId="2B79B7B9" w:rsidR="00A22F4A" w:rsidRPr="00A22F4A" w:rsidRDefault="00D40306" w:rsidP="00BB576E">
            <w:pPr>
              <w:tabs>
                <w:tab w:val="left" w:pos="3792"/>
              </w:tabs>
              <w:rPr>
                <w:rFonts w:cstheme="minorHAnsi"/>
                <w:b/>
                <w:bCs/>
                <w:color w:val="FFFFFF" w:themeColor="background1"/>
              </w:rPr>
            </w:pPr>
            <w:r>
              <w:object w:dxaOrig="1546" w:dyaOrig="1001" w14:anchorId="5A1672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4" type="#_x0000_t75" style="width:77.45pt;height:50.15pt" o:ole="">
                  <v:imagedata r:id="rId11" o:title=""/>
                </v:shape>
                <o:OLEObject Type="Embed" ProgID="AcroExch.Document.DC" ShapeID="_x0000_i1224" DrawAspect="Icon" ObjectID="_1692705711" r:id="rId12"/>
              </w:object>
            </w:r>
          </w:p>
        </w:tc>
      </w:tr>
      <w:tr w:rsidR="0041387C" w:rsidRPr="00073DA0" w14:paraId="24213553" w14:textId="77777777" w:rsidTr="00D40306">
        <w:tc>
          <w:tcPr>
            <w:tcW w:w="560" w:type="dxa"/>
          </w:tcPr>
          <w:p w14:paraId="65B8F423" w14:textId="408B021F" w:rsidR="0041387C" w:rsidRDefault="00D40306" w:rsidP="00FF78A9">
            <w:pPr>
              <w:jc w:val="center"/>
              <w:rPr>
                <w:rFonts w:cstheme="minorHAnsi"/>
              </w:rPr>
            </w:pPr>
            <w:r>
              <w:rPr>
                <w:rFonts w:cstheme="minorHAnsi"/>
              </w:rPr>
              <w:t>15.</w:t>
            </w:r>
          </w:p>
        </w:tc>
        <w:tc>
          <w:tcPr>
            <w:tcW w:w="4780" w:type="dxa"/>
          </w:tcPr>
          <w:p w14:paraId="5673237F" w14:textId="77777777" w:rsidR="0041387C" w:rsidRDefault="0041387C" w:rsidP="00EC7173">
            <w:pPr>
              <w:rPr>
                <w:rFonts w:cstheme="minorHAnsi"/>
              </w:rPr>
            </w:pPr>
            <w:r w:rsidRPr="0041387C">
              <w:rPr>
                <w:rFonts w:cstheme="minorHAnsi"/>
              </w:rPr>
              <w:t>PV Panels’ efficiency</w:t>
            </w:r>
          </w:p>
          <w:p w14:paraId="2EB84883" w14:textId="77777777" w:rsidR="0041387C" w:rsidRDefault="0041387C" w:rsidP="00EC7173">
            <w:pPr>
              <w:rPr>
                <w:rFonts w:cstheme="minorHAnsi"/>
              </w:rPr>
            </w:pPr>
          </w:p>
          <w:p w14:paraId="17D82B8C" w14:textId="77777777" w:rsidR="0041387C" w:rsidRPr="0041387C" w:rsidRDefault="0041387C" w:rsidP="0041387C">
            <w:pPr>
              <w:rPr>
                <w:rFonts w:cstheme="minorHAnsi"/>
              </w:rPr>
            </w:pPr>
            <w:r w:rsidRPr="0041387C">
              <w:rPr>
                <w:rFonts w:cstheme="minorHAnsi"/>
              </w:rPr>
              <w:t>Q: In Appendix 7 it states that the efficiency for the panels should be ≥22% (page23). This is a very high efficiency and there are not many options in the market for panels with this efficiency. On the other hand, in Appendix 6 it states that the efficiency should be &gt;20% (pages 21 and 25) which is still a high efficiency and a more common value for PV panels.</w:t>
            </w:r>
          </w:p>
          <w:p w14:paraId="037AC420" w14:textId="2C34C6B8" w:rsidR="0041387C" w:rsidRPr="008D545A" w:rsidRDefault="0041387C" w:rsidP="0041387C">
            <w:pPr>
              <w:rPr>
                <w:rFonts w:cstheme="minorHAnsi"/>
              </w:rPr>
            </w:pPr>
            <w:r w:rsidRPr="0041387C">
              <w:rPr>
                <w:rFonts w:cstheme="minorHAnsi"/>
              </w:rPr>
              <w:t>Kindly clarify if efficiency &gt;20% is acceptable.</w:t>
            </w:r>
          </w:p>
        </w:tc>
        <w:tc>
          <w:tcPr>
            <w:tcW w:w="5659" w:type="dxa"/>
            <w:shd w:val="clear" w:color="auto" w:fill="auto"/>
          </w:tcPr>
          <w:p w14:paraId="687CAD6D" w14:textId="70D7F09E" w:rsidR="00A22F4A" w:rsidRPr="002C320A" w:rsidRDefault="00A22F4A" w:rsidP="00EC7173">
            <w:pPr>
              <w:rPr>
                <w:rFonts w:cstheme="minorHAnsi"/>
                <w:b/>
                <w:bCs/>
              </w:rPr>
            </w:pPr>
            <w:r w:rsidRPr="002C320A">
              <w:rPr>
                <w:rFonts w:cstheme="minorHAnsi"/>
                <w:b/>
                <w:bCs/>
              </w:rPr>
              <w:t>Amendment valid for the whole Tender Dossier:</w:t>
            </w:r>
          </w:p>
          <w:p w14:paraId="74FAA394" w14:textId="77777777" w:rsidR="00A22F4A" w:rsidRDefault="00A22F4A" w:rsidP="00EC7173">
            <w:pPr>
              <w:rPr>
                <w:rFonts w:cstheme="minorHAnsi"/>
              </w:rPr>
            </w:pPr>
          </w:p>
          <w:p w14:paraId="17C2B833" w14:textId="5D89C966" w:rsidR="00A22F4A" w:rsidRPr="00572D27" w:rsidRDefault="00A22F4A" w:rsidP="00EC7173">
            <w:pPr>
              <w:rPr>
                <w:rFonts w:cstheme="minorHAnsi"/>
              </w:rPr>
            </w:pPr>
            <w:r>
              <w:rPr>
                <w:rFonts w:cstheme="minorHAnsi"/>
              </w:rPr>
              <w:t xml:space="preserve">“The nominal efficiency of the solar PV module shall be equal or greater than </w:t>
            </w:r>
            <w:r w:rsidR="00BB576E">
              <w:rPr>
                <w:rFonts w:cstheme="minorHAnsi"/>
              </w:rPr>
              <w:t xml:space="preserve">twenty </w:t>
            </w:r>
            <w:r>
              <w:rPr>
                <w:rFonts w:cstheme="minorHAnsi"/>
              </w:rPr>
              <w:t>percent (</w:t>
            </w:r>
            <m:oMath>
              <m:r>
                <w:rPr>
                  <w:rFonts w:ascii="Cambria Math" w:hAnsi="Cambria Math" w:cs="Calibri"/>
                </w:rPr>
                <m:t>≥</m:t>
              </m:r>
            </m:oMath>
            <w:r>
              <w:rPr>
                <w:rFonts w:cstheme="minorHAnsi"/>
              </w:rPr>
              <w:t>20%)”</w:t>
            </w:r>
          </w:p>
        </w:tc>
      </w:tr>
      <w:tr w:rsidR="00700688" w:rsidRPr="00073DA0" w14:paraId="76E12236" w14:textId="77777777" w:rsidTr="00D40306">
        <w:tc>
          <w:tcPr>
            <w:tcW w:w="560" w:type="dxa"/>
          </w:tcPr>
          <w:p w14:paraId="0273F521" w14:textId="01D1FD11" w:rsidR="00700688" w:rsidRDefault="00D40306" w:rsidP="00FF78A9">
            <w:pPr>
              <w:jc w:val="center"/>
              <w:rPr>
                <w:rFonts w:cstheme="minorHAnsi"/>
              </w:rPr>
            </w:pPr>
            <w:r>
              <w:rPr>
                <w:rFonts w:cstheme="minorHAnsi"/>
              </w:rPr>
              <w:t>16.</w:t>
            </w:r>
          </w:p>
        </w:tc>
        <w:tc>
          <w:tcPr>
            <w:tcW w:w="4780" w:type="dxa"/>
          </w:tcPr>
          <w:p w14:paraId="65B206DB" w14:textId="3EC5C0E3" w:rsidR="00700688" w:rsidRDefault="00700688" w:rsidP="00700688">
            <w:pPr>
              <w:rPr>
                <w:rFonts w:cstheme="minorHAnsi"/>
              </w:rPr>
            </w:pPr>
            <w:r w:rsidRPr="00700688">
              <w:rPr>
                <w:rFonts w:cstheme="minorHAnsi"/>
              </w:rPr>
              <w:t xml:space="preserve">“Solar PV Leasing Services”: The service provider submits the leasing agreement, after the Solar system completed, the service provider will get the payment by month during the leasing period. At the end of leasing, the ownership of the solar system will transfer to UNICEF, and UNICEF will pay the rest value of the solar system to service provider. </w:t>
            </w:r>
          </w:p>
          <w:p w14:paraId="389A10E9" w14:textId="77777777" w:rsidR="00D431E1" w:rsidRPr="00700688" w:rsidRDefault="00D431E1" w:rsidP="00700688">
            <w:pPr>
              <w:rPr>
                <w:rFonts w:cstheme="minorHAnsi"/>
              </w:rPr>
            </w:pPr>
          </w:p>
          <w:p w14:paraId="358FAD82" w14:textId="7FB83BBC" w:rsidR="00D431E1" w:rsidRPr="0041387C" w:rsidRDefault="00700688" w:rsidP="00700688">
            <w:pPr>
              <w:rPr>
                <w:rFonts w:cstheme="minorHAnsi"/>
              </w:rPr>
            </w:pPr>
            <w:r w:rsidRPr="00700688">
              <w:rPr>
                <w:rFonts w:cstheme="minorHAnsi"/>
              </w:rPr>
              <w:t>Please confirm above understanding of the Leasing Service, which is solar system leasing model.</w:t>
            </w:r>
          </w:p>
        </w:tc>
        <w:tc>
          <w:tcPr>
            <w:tcW w:w="5659" w:type="dxa"/>
            <w:shd w:val="clear" w:color="auto" w:fill="auto"/>
          </w:tcPr>
          <w:p w14:paraId="6400343E" w14:textId="232829DC" w:rsidR="00700688" w:rsidRPr="00572D27" w:rsidRDefault="00A22F4A" w:rsidP="00A22F4A">
            <w:pPr>
              <w:rPr>
                <w:rFonts w:cstheme="minorHAnsi"/>
              </w:rPr>
            </w:pPr>
            <w:r>
              <w:rPr>
                <w:rFonts w:cstheme="minorHAnsi"/>
              </w:rPr>
              <w:t>The leasing service milestones are in line with common solar PV leasing practices.</w:t>
            </w:r>
          </w:p>
        </w:tc>
      </w:tr>
      <w:tr w:rsidR="00D431E1" w:rsidRPr="00073DA0" w14:paraId="58405F95" w14:textId="77777777" w:rsidTr="00D40306">
        <w:tc>
          <w:tcPr>
            <w:tcW w:w="560" w:type="dxa"/>
          </w:tcPr>
          <w:p w14:paraId="09BE54FA" w14:textId="50DF58DA" w:rsidR="00D431E1" w:rsidRDefault="00D40306" w:rsidP="00FF78A9">
            <w:pPr>
              <w:jc w:val="center"/>
              <w:rPr>
                <w:rFonts w:cstheme="minorHAnsi"/>
              </w:rPr>
            </w:pPr>
            <w:r>
              <w:rPr>
                <w:rFonts w:cstheme="minorHAnsi"/>
              </w:rPr>
              <w:t>17.</w:t>
            </w:r>
          </w:p>
        </w:tc>
        <w:tc>
          <w:tcPr>
            <w:tcW w:w="4780" w:type="dxa"/>
          </w:tcPr>
          <w:p w14:paraId="532A8035" w14:textId="0B65C343" w:rsidR="00D431E1" w:rsidRDefault="00D431E1" w:rsidP="00D431E1">
            <w:pPr>
              <w:rPr>
                <w:rFonts w:cstheme="minorHAnsi"/>
              </w:rPr>
            </w:pPr>
            <w:r w:rsidRPr="00D431E1">
              <w:rPr>
                <w:rFonts w:cstheme="minorHAnsi"/>
              </w:rPr>
              <w:t xml:space="preserve">“Other Solar PV Financial Options”: Ownership of the solar system transform to UNICEF after system completed, UNICEF would continue the ownership and </w:t>
            </w:r>
            <w:r w:rsidR="00D40306" w:rsidRPr="00D431E1">
              <w:rPr>
                <w:rFonts w:cstheme="minorHAnsi"/>
              </w:rPr>
              <w:t>benefit without</w:t>
            </w:r>
            <w:r w:rsidRPr="00D431E1">
              <w:rPr>
                <w:rFonts w:cstheme="minorHAnsi"/>
              </w:rPr>
              <w:t xml:space="preserve"> monthly costs. At the end of contract, UNICEF commits to redeem the residual value for the remaining contractual period. </w:t>
            </w:r>
          </w:p>
          <w:p w14:paraId="5994D1FF" w14:textId="77777777" w:rsidR="00D431E1" w:rsidRPr="00D431E1" w:rsidRDefault="00D431E1" w:rsidP="00D431E1">
            <w:pPr>
              <w:rPr>
                <w:rFonts w:cstheme="minorHAnsi"/>
              </w:rPr>
            </w:pPr>
          </w:p>
          <w:p w14:paraId="65CEBE07" w14:textId="59D892A8" w:rsidR="003C5CE3" w:rsidRPr="00700688" w:rsidRDefault="00D431E1" w:rsidP="00D431E1">
            <w:pPr>
              <w:rPr>
                <w:rFonts w:cstheme="minorHAnsi"/>
              </w:rPr>
            </w:pPr>
            <w:r w:rsidRPr="00D431E1">
              <w:rPr>
                <w:rFonts w:cstheme="minorHAnsi"/>
              </w:rPr>
              <w:lastRenderedPageBreak/>
              <w:t>Please clarify how should the service provider get the payment?  Is it via selling the solar PV electricity? Please kindly clarify the details.</w:t>
            </w:r>
          </w:p>
        </w:tc>
        <w:tc>
          <w:tcPr>
            <w:tcW w:w="5659" w:type="dxa"/>
            <w:shd w:val="clear" w:color="auto" w:fill="auto"/>
          </w:tcPr>
          <w:p w14:paraId="475D101F" w14:textId="09B41694" w:rsidR="00D431E1" w:rsidRPr="00572D27" w:rsidRDefault="00C71928" w:rsidP="00EC7173">
            <w:pPr>
              <w:rPr>
                <w:rFonts w:cstheme="minorHAnsi"/>
              </w:rPr>
            </w:pPr>
            <w:r>
              <w:rPr>
                <w:rFonts w:cstheme="minorHAnsi"/>
              </w:rPr>
              <w:lastRenderedPageBreak/>
              <w:t>Each bidder shall propose their own commercial conditions</w:t>
            </w:r>
          </w:p>
        </w:tc>
      </w:tr>
      <w:tr w:rsidR="003C5CE3" w:rsidRPr="00073DA0" w14:paraId="0F5D1228" w14:textId="77777777" w:rsidTr="00D40306">
        <w:tc>
          <w:tcPr>
            <w:tcW w:w="560" w:type="dxa"/>
          </w:tcPr>
          <w:p w14:paraId="100F9E3D" w14:textId="4B866774" w:rsidR="003C5CE3" w:rsidRDefault="00A72FC6" w:rsidP="00FF78A9">
            <w:pPr>
              <w:jc w:val="center"/>
              <w:rPr>
                <w:rFonts w:cstheme="minorHAnsi"/>
              </w:rPr>
            </w:pPr>
            <w:r>
              <w:rPr>
                <w:rFonts w:cstheme="minorHAnsi"/>
              </w:rPr>
              <w:t>1</w:t>
            </w:r>
            <w:r w:rsidR="00D40306">
              <w:rPr>
                <w:rFonts w:cstheme="minorHAnsi"/>
              </w:rPr>
              <w:t>8.</w:t>
            </w:r>
          </w:p>
        </w:tc>
        <w:tc>
          <w:tcPr>
            <w:tcW w:w="4780" w:type="dxa"/>
          </w:tcPr>
          <w:p w14:paraId="03C6128F" w14:textId="60C2A368" w:rsidR="003C5CE3" w:rsidRDefault="003C5CE3" w:rsidP="00D431E1">
            <w:pPr>
              <w:rPr>
                <w:rFonts w:cstheme="minorHAnsi"/>
              </w:rPr>
            </w:pPr>
            <w:r w:rsidRPr="003C5CE3">
              <w:rPr>
                <w:rFonts w:cstheme="minorHAnsi"/>
              </w:rPr>
              <w:t xml:space="preserve">Please kindly clarify the detail requirement </w:t>
            </w:r>
            <w:proofErr w:type="gramStart"/>
            <w:r w:rsidRPr="003C5CE3">
              <w:rPr>
                <w:rFonts w:cstheme="minorHAnsi"/>
              </w:rPr>
              <w:t>of  "</w:t>
            </w:r>
            <w:proofErr w:type="gramEnd"/>
            <w:r w:rsidRPr="003C5CE3">
              <w:rPr>
                <w:rFonts w:cstheme="minorHAnsi"/>
              </w:rPr>
              <w:t xml:space="preserve">Other Options" - </w:t>
            </w:r>
            <w:proofErr w:type="spellStart"/>
            <w:r w:rsidRPr="003C5CE3">
              <w:rPr>
                <w:rFonts w:cstheme="minorHAnsi"/>
              </w:rPr>
              <w:t>Captial</w:t>
            </w:r>
            <w:proofErr w:type="spellEnd"/>
            <w:r w:rsidRPr="003C5CE3">
              <w:rPr>
                <w:rFonts w:cstheme="minorHAnsi"/>
              </w:rPr>
              <w:t xml:space="preserve"> expense (CAPEX) and "Extended letter of credit".</w:t>
            </w:r>
          </w:p>
          <w:p w14:paraId="423640DC" w14:textId="13642402" w:rsidR="003C5CE3" w:rsidRPr="00D431E1" w:rsidRDefault="003C5CE3" w:rsidP="00D431E1">
            <w:pPr>
              <w:rPr>
                <w:rFonts w:cstheme="minorHAnsi"/>
              </w:rPr>
            </w:pPr>
          </w:p>
        </w:tc>
        <w:tc>
          <w:tcPr>
            <w:tcW w:w="5659" w:type="dxa"/>
            <w:shd w:val="clear" w:color="auto" w:fill="auto"/>
          </w:tcPr>
          <w:p w14:paraId="36630254" w14:textId="06A8C4A3" w:rsidR="003C5CE3" w:rsidRPr="00572D27" w:rsidRDefault="00C71928" w:rsidP="00EC7173">
            <w:pPr>
              <w:rPr>
                <w:rFonts w:cstheme="minorHAnsi"/>
              </w:rPr>
            </w:pPr>
            <w:r>
              <w:rPr>
                <w:rFonts w:cstheme="minorHAnsi"/>
              </w:rPr>
              <w:t>This is up to each bidder, according to their individual experiences.</w:t>
            </w:r>
          </w:p>
        </w:tc>
      </w:tr>
      <w:tr w:rsidR="003C5CE3" w:rsidRPr="00073DA0" w14:paraId="2C0DE9C8" w14:textId="77777777" w:rsidTr="00D40306">
        <w:tc>
          <w:tcPr>
            <w:tcW w:w="560" w:type="dxa"/>
          </w:tcPr>
          <w:p w14:paraId="09211948" w14:textId="51B57A87" w:rsidR="003C5CE3" w:rsidRDefault="00A72FC6" w:rsidP="00FF78A9">
            <w:pPr>
              <w:jc w:val="center"/>
              <w:rPr>
                <w:rFonts w:cstheme="minorHAnsi"/>
              </w:rPr>
            </w:pPr>
            <w:r>
              <w:rPr>
                <w:rFonts w:cstheme="minorHAnsi"/>
              </w:rPr>
              <w:t>1</w:t>
            </w:r>
            <w:r w:rsidR="00D40306">
              <w:rPr>
                <w:rFonts w:cstheme="minorHAnsi"/>
              </w:rPr>
              <w:t>9.</w:t>
            </w:r>
          </w:p>
        </w:tc>
        <w:tc>
          <w:tcPr>
            <w:tcW w:w="4780" w:type="dxa"/>
          </w:tcPr>
          <w:p w14:paraId="55D39DCC" w14:textId="28563539" w:rsidR="008A5DDD" w:rsidRPr="003C5CE3" w:rsidRDefault="008A5DDD" w:rsidP="00D431E1">
            <w:pPr>
              <w:rPr>
                <w:rFonts w:cstheme="minorHAnsi"/>
              </w:rPr>
            </w:pPr>
            <w:r w:rsidRPr="008A5DDD">
              <w:rPr>
                <w:rFonts w:cstheme="minorHAnsi"/>
              </w:rPr>
              <w:t>Please clarify if there any requirement for the service contract period?</w:t>
            </w:r>
          </w:p>
        </w:tc>
        <w:tc>
          <w:tcPr>
            <w:tcW w:w="5659" w:type="dxa"/>
            <w:shd w:val="clear" w:color="auto" w:fill="auto"/>
          </w:tcPr>
          <w:p w14:paraId="3B4AABCA" w14:textId="77777777" w:rsidR="001968A5" w:rsidRDefault="008A5DDD" w:rsidP="00EC7173">
            <w:pPr>
              <w:rPr>
                <w:rFonts w:cstheme="minorHAnsi"/>
              </w:rPr>
            </w:pPr>
            <w:r>
              <w:rPr>
                <w:rFonts w:cstheme="minorHAnsi"/>
              </w:rPr>
              <w:t>The outcome of the RFPS process is to issue a Long Term Arrangement</w:t>
            </w:r>
            <w:r w:rsidR="00054137">
              <w:rPr>
                <w:rFonts w:cstheme="minorHAnsi"/>
              </w:rPr>
              <w:t xml:space="preserve">s </w:t>
            </w:r>
            <w:r w:rsidR="00054137" w:rsidRPr="00054137">
              <w:rPr>
                <w:rFonts w:cstheme="minorHAnsi"/>
              </w:rPr>
              <w:t xml:space="preserve">with multiple service providers for an initial period of three (3) years with possibility of extensions for two (2) additional periods of two (2) years each (“3+2+2 years”), at the discretion of UNICEF and subject to satisfactory performance by the service providers to deliver the required solar PV systems and services. </w:t>
            </w:r>
          </w:p>
          <w:p w14:paraId="32596F41" w14:textId="647F1E81" w:rsidR="003C5CE3" w:rsidRPr="00572D27" w:rsidRDefault="00054137" w:rsidP="00EC7173">
            <w:pPr>
              <w:rPr>
                <w:rFonts w:cstheme="minorHAnsi"/>
              </w:rPr>
            </w:pPr>
            <w:r w:rsidRPr="00054137">
              <w:rPr>
                <w:rFonts w:cstheme="minorHAnsi"/>
              </w:rPr>
              <w:t xml:space="preserve">An LTA is a contractual framework in which UNICEF and the selected service providers agree on a list of services, the conditions of their delivery, and their prices for a defined period.  </w:t>
            </w:r>
          </w:p>
        </w:tc>
      </w:tr>
      <w:tr w:rsidR="00D40306" w:rsidRPr="00073DA0" w14:paraId="7A10DB86" w14:textId="77777777" w:rsidTr="00D40306">
        <w:tc>
          <w:tcPr>
            <w:tcW w:w="560" w:type="dxa"/>
          </w:tcPr>
          <w:p w14:paraId="50730FCB" w14:textId="18EC2B5A" w:rsidR="00D40306" w:rsidRDefault="00D40306" w:rsidP="00FF78A9">
            <w:pPr>
              <w:jc w:val="center"/>
              <w:rPr>
                <w:rFonts w:cstheme="minorHAnsi"/>
              </w:rPr>
            </w:pPr>
            <w:r>
              <w:rPr>
                <w:rFonts w:cstheme="minorHAnsi"/>
              </w:rPr>
              <w:t>20.</w:t>
            </w:r>
          </w:p>
        </w:tc>
        <w:tc>
          <w:tcPr>
            <w:tcW w:w="4780" w:type="dxa"/>
          </w:tcPr>
          <w:p w14:paraId="6931C193" w14:textId="56CE9BD5" w:rsidR="00D40306" w:rsidRPr="00D40306" w:rsidRDefault="00D40306" w:rsidP="00D40306">
            <w:pPr>
              <w:spacing w:after="160" w:line="252" w:lineRule="auto"/>
              <w:contextualSpacing/>
              <w:rPr>
                <w:rFonts w:eastAsia="Times New Roman"/>
              </w:rPr>
            </w:pPr>
            <w:r w:rsidRPr="00D40306">
              <w:rPr>
                <w:rFonts w:eastAsia="Times New Roman"/>
              </w:rPr>
              <w:t>Can our offer/bid be applicable only to specific cities within the same country? Or shall we cover the whole country?</w:t>
            </w:r>
          </w:p>
        </w:tc>
        <w:tc>
          <w:tcPr>
            <w:tcW w:w="5659" w:type="dxa"/>
            <w:shd w:val="clear" w:color="auto" w:fill="auto"/>
          </w:tcPr>
          <w:p w14:paraId="34DC14A5" w14:textId="4F3D23F4" w:rsidR="00D40306" w:rsidRDefault="00D40306" w:rsidP="00EC7173">
            <w:pPr>
              <w:rPr>
                <w:rFonts w:cstheme="minorHAnsi"/>
              </w:rPr>
            </w:pPr>
            <w:r w:rsidRPr="00D40306">
              <w:rPr>
                <w:rFonts w:cstheme="minorHAnsi"/>
              </w:rPr>
              <w:t xml:space="preserve">Bidders are expected to be able to cover the areas/cities where UNICEF has </w:t>
            </w:r>
            <w:proofErr w:type="spellStart"/>
            <w:r w:rsidRPr="00D40306">
              <w:rPr>
                <w:rFonts w:cstheme="minorHAnsi"/>
              </w:rPr>
              <w:t>programme</w:t>
            </w:r>
            <w:proofErr w:type="spellEnd"/>
            <w:r w:rsidRPr="00D40306">
              <w:rPr>
                <w:rFonts w:cstheme="minorHAnsi"/>
              </w:rPr>
              <w:t xml:space="preserve"> (current and future) within that Country.</w:t>
            </w:r>
          </w:p>
        </w:tc>
      </w:tr>
      <w:tr w:rsidR="00D40306" w:rsidRPr="00073DA0" w14:paraId="53506E04" w14:textId="77777777" w:rsidTr="00D40306">
        <w:tc>
          <w:tcPr>
            <w:tcW w:w="560" w:type="dxa"/>
          </w:tcPr>
          <w:p w14:paraId="60ACCF38" w14:textId="683143E5" w:rsidR="00D40306" w:rsidRDefault="00D40306" w:rsidP="00FF78A9">
            <w:pPr>
              <w:jc w:val="center"/>
              <w:rPr>
                <w:rFonts w:cstheme="minorHAnsi"/>
              </w:rPr>
            </w:pPr>
            <w:r>
              <w:rPr>
                <w:rFonts w:cstheme="minorHAnsi"/>
              </w:rPr>
              <w:t>21.</w:t>
            </w:r>
          </w:p>
        </w:tc>
        <w:tc>
          <w:tcPr>
            <w:tcW w:w="4780" w:type="dxa"/>
          </w:tcPr>
          <w:p w14:paraId="60968018" w14:textId="3E9D88FD" w:rsidR="00D40306" w:rsidRPr="00D40306" w:rsidRDefault="00D40306" w:rsidP="00D40306">
            <w:pPr>
              <w:rPr>
                <w:rFonts w:eastAsia="Times New Roman"/>
              </w:rPr>
            </w:pPr>
            <w:r w:rsidRPr="00D40306">
              <w:rPr>
                <w:rFonts w:eastAsia="Times New Roman"/>
              </w:rPr>
              <w:t>URGENT request for Appendix 6 document (Guidelines on Technical Compliance) which is being referenced to in Annex B</w:t>
            </w:r>
            <w:r w:rsidR="00940D1A">
              <w:rPr>
                <w:rFonts w:eastAsia="Times New Roman"/>
              </w:rPr>
              <w:t xml:space="preserve"> </w:t>
            </w:r>
            <w:r w:rsidRPr="00D40306">
              <w:rPr>
                <w:rFonts w:eastAsia="Times New Roman"/>
              </w:rPr>
              <w:t>- TOR (Terms of Reference) page 7 of 35</w:t>
            </w:r>
          </w:p>
        </w:tc>
        <w:tc>
          <w:tcPr>
            <w:tcW w:w="5659" w:type="dxa"/>
            <w:shd w:val="clear" w:color="auto" w:fill="auto"/>
          </w:tcPr>
          <w:p w14:paraId="0D7BC15E" w14:textId="0E4F93DC" w:rsidR="00D40306" w:rsidRPr="00D40306" w:rsidRDefault="00D40306" w:rsidP="00D40306">
            <w:pPr>
              <w:rPr>
                <w:rFonts w:eastAsia="Times New Roman"/>
              </w:rPr>
            </w:pPr>
            <w:r w:rsidRPr="00D40306">
              <w:rPr>
                <w:rFonts w:eastAsia="Times New Roman"/>
              </w:rPr>
              <w:t>Appendix 6 can be found in the TOR (Annex B) page 20.</w:t>
            </w:r>
          </w:p>
          <w:p w14:paraId="08BCF004" w14:textId="77777777" w:rsidR="00D40306" w:rsidRPr="00D40306" w:rsidRDefault="00D40306" w:rsidP="00EC7173">
            <w:pPr>
              <w:rPr>
                <w:rFonts w:eastAsia="Times New Roman"/>
              </w:rPr>
            </w:pPr>
          </w:p>
        </w:tc>
      </w:tr>
      <w:bookmarkEnd w:id="0"/>
    </w:tbl>
    <w:p w14:paraId="68C3900D" w14:textId="5DF37FF3" w:rsidR="002747AF" w:rsidRDefault="002747AF" w:rsidP="00347769">
      <w:pPr>
        <w:jc w:val="both"/>
      </w:pPr>
    </w:p>
    <w:p w14:paraId="36F9B11C" w14:textId="77777777" w:rsidR="00D40306" w:rsidRDefault="00D40306" w:rsidP="00D40306"/>
    <w:p w14:paraId="618065C4" w14:textId="77777777" w:rsidR="00D40306" w:rsidRDefault="00D40306" w:rsidP="00347769">
      <w:pPr>
        <w:jc w:val="both"/>
      </w:pPr>
    </w:p>
    <w:sectPr w:rsidR="00D40306" w:rsidSect="00C60303">
      <w:pgSz w:w="12240" w:h="15840"/>
      <w:pgMar w:top="540" w:right="81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24C4B"/>
    <w:multiLevelType w:val="hybridMultilevel"/>
    <w:tmpl w:val="9C6C8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DB804C5"/>
    <w:multiLevelType w:val="hybridMultilevel"/>
    <w:tmpl w:val="FBB288C0"/>
    <w:lvl w:ilvl="0" w:tplc="90CA2774">
      <w:start w:val="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C69319E"/>
    <w:multiLevelType w:val="hybridMultilevel"/>
    <w:tmpl w:val="5AEED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EF451E"/>
    <w:multiLevelType w:val="multilevel"/>
    <w:tmpl w:val="BACCB0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1A00B27"/>
    <w:multiLevelType w:val="hybridMultilevel"/>
    <w:tmpl w:val="0D48F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CE0BB0"/>
    <w:multiLevelType w:val="multilevel"/>
    <w:tmpl w:val="BACCB0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77B7897"/>
    <w:multiLevelType w:val="hybridMultilevel"/>
    <w:tmpl w:val="744C10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12133B9"/>
    <w:multiLevelType w:val="hybridMultilevel"/>
    <w:tmpl w:val="244CC5DC"/>
    <w:lvl w:ilvl="0" w:tplc="BF0CD13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CD9354E"/>
    <w:multiLevelType w:val="hybridMultilevel"/>
    <w:tmpl w:val="5C940A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FF9221D"/>
    <w:multiLevelType w:val="hybridMultilevel"/>
    <w:tmpl w:val="5CDE4AD0"/>
    <w:lvl w:ilvl="0" w:tplc="53B85320">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751A44"/>
    <w:multiLevelType w:val="multilevel"/>
    <w:tmpl w:val="BACCB0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BD810D8"/>
    <w:multiLevelType w:val="hybridMultilevel"/>
    <w:tmpl w:val="9C6C8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6C770C9"/>
    <w:multiLevelType w:val="hybridMultilevel"/>
    <w:tmpl w:val="0CBE3F5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76E21B55"/>
    <w:multiLevelType w:val="hybridMultilevel"/>
    <w:tmpl w:val="7892F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C68052A"/>
    <w:multiLevelType w:val="hybridMultilevel"/>
    <w:tmpl w:val="9C6C8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E9F6C32"/>
    <w:multiLevelType w:val="hybridMultilevel"/>
    <w:tmpl w:val="FCC6DF6C"/>
    <w:lvl w:ilvl="0" w:tplc="92961C38">
      <w:start w:val="64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6"/>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1"/>
  </w:num>
  <w:num w:numId="11">
    <w:abstractNumId w:val="14"/>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5"/>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53B"/>
    <w:rsid w:val="0000238A"/>
    <w:rsid w:val="00010CDC"/>
    <w:rsid w:val="000251C2"/>
    <w:rsid w:val="00052A56"/>
    <w:rsid w:val="00054137"/>
    <w:rsid w:val="000575F3"/>
    <w:rsid w:val="00073DA0"/>
    <w:rsid w:val="000A506F"/>
    <w:rsid w:val="000A55C2"/>
    <w:rsid w:val="000C7CB9"/>
    <w:rsid w:val="000E2A19"/>
    <w:rsid w:val="000E7AD5"/>
    <w:rsid w:val="000F7C4C"/>
    <w:rsid w:val="00120DA9"/>
    <w:rsid w:val="00141D6C"/>
    <w:rsid w:val="00150D00"/>
    <w:rsid w:val="00151E34"/>
    <w:rsid w:val="001539EB"/>
    <w:rsid w:val="00163EC0"/>
    <w:rsid w:val="00176329"/>
    <w:rsid w:val="0018543A"/>
    <w:rsid w:val="0019493B"/>
    <w:rsid w:val="001968A5"/>
    <w:rsid w:val="001C53C9"/>
    <w:rsid w:val="001E2317"/>
    <w:rsid w:val="001E5863"/>
    <w:rsid w:val="00221DD2"/>
    <w:rsid w:val="00226149"/>
    <w:rsid w:val="00232E24"/>
    <w:rsid w:val="002510AF"/>
    <w:rsid w:val="002747AF"/>
    <w:rsid w:val="00295292"/>
    <w:rsid w:val="002B58FA"/>
    <w:rsid w:val="002C1D6D"/>
    <w:rsid w:val="002C320A"/>
    <w:rsid w:val="002E7680"/>
    <w:rsid w:val="002E7F2F"/>
    <w:rsid w:val="002F74F1"/>
    <w:rsid w:val="0030527B"/>
    <w:rsid w:val="00310092"/>
    <w:rsid w:val="003107D6"/>
    <w:rsid w:val="00315163"/>
    <w:rsid w:val="00325AA5"/>
    <w:rsid w:val="00346F1F"/>
    <w:rsid w:val="00347769"/>
    <w:rsid w:val="0036090F"/>
    <w:rsid w:val="00370392"/>
    <w:rsid w:val="00371F3E"/>
    <w:rsid w:val="00373843"/>
    <w:rsid w:val="003C3861"/>
    <w:rsid w:val="003C5CE3"/>
    <w:rsid w:val="003E5C0D"/>
    <w:rsid w:val="00400DA3"/>
    <w:rsid w:val="0041387C"/>
    <w:rsid w:val="00423885"/>
    <w:rsid w:val="004309DD"/>
    <w:rsid w:val="00434AA6"/>
    <w:rsid w:val="00454FAF"/>
    <w:rsid w:val="00465C5C"/>
    <w:rsid w:val="00466240"/>
    <w:rsid w:val="00482488"/>
    <w:rsid w:val="0049053B"/>
    <w:rsid w:val="00495A8C"/>
    <w:rsid w:val="004C06DA"/>
    <w:rsid w:val="004C627A"/>
    <w:rsid w:val="005008D1"/>
    <w:rsid w:val="00500DFB"/>
    <w:rsid w:val="0055022C"/>
    <w:rsid w:val="00552E40"/>
    <w:rsid w:val="00572D27"/>
    <w:rsid w:val="0059268F"/>
    <w:rsid w:val="005B32F4"/>
    <w:rsid w:val="005B3E09"/>
    <w:rsid w:val="005C4A58"/>
    <w:rsid w:val="005E2AF7"/>
    <w:rsid w:val="005F6F1F"/>
    <w:rsid w:val="00606CC2"/>
    <w:rsid w:val="00610EE5"/>
    <w:rsid w:val="006129FE"/>
    <w:rsid w:val="00614A05"/>
    <w:rsid w:val="00616E7F"/>
    <w:rsid w:val="0062733B"/>
    <w:rsid w:val="006413B6"/>
    <w:rsid w:val="00643368"/>
    <w:rsid w:val="00651365"/>
    <w:rsid w:val="00657E92"/>
    <w:rsid w:val="0066624D"/>
    <w:rsid w:val="00683B29"/>
    <w:rsid w:val="00684DF7"/>
    <w:rsid w:val="006E0B40"/>
    <w:rsid w:val="00700688"/>
    <w:rsid w:val="00714D07"/>
    <w:rsid w:val="007233A9"/>
    <w:rsid w:val="007242C1"/>
    <w:rsid w:val="007575B7"/>
    <w:rsid w:val="00775E96"/>
    <w:rsid w:val="007836EE"/>
    <w:rsid w:val="00787433"/>
    <w:rsid w:val="00796A44"/>
    <w:rsid w:val="007D51E9"/>
    <w:rsid w:val="007D54FA"/>
    <w:rsid w:val="007F0A8E"/>
    <w:rsid w:val="00803F41"/>
    <w:rsid w:val="00804F9A"/>
    <w:rsid w:val="00816AC5"/>
    <w:rsid w:val="00820E09"/>
    <w:rsid w:val="00874133"/>
    <w:rsid w:val="00886CB0"/>
    <w:rsid w:val="00894DE1"/>
    <w:rsid w:val="008A5DDD"/>
    <w:rsid w:val="008C66BA"/>
    <w:rsid w:val="008D545A"/>
    <w:rsid w:val="008F2E94"/>
    <w:rsid w:val="00903C29"/>
    <w:rsid w:val="00905C3E"/>
    <w:rsid w:val="009228B7"/>
    <w:rsid w:val="00940D1A"/>
    <w:rsid w:val="00951894"/>
    <w:rsid w:val="00952968"/>
    <w:rsid w:val="00953D23"/>
    <w:rsid w:val="0098556F"/>
    <w:rsid w:val="00985B0D"/>
    <w:rsid w:val="009B4AAA"/>
    <w:rsid w:val="009C0A55"/>
    <w:rsid w:val="009D7BC5"/>
    <w:rsid w:val="009E30E8"/>
    <w:rsid w:val="00A1144A"/>
    <w:rsid w:val="00A12267"/>
    <w:rsid w:val="00A22F4A"/>
    <w:rsid w:val="00A33B83"/>
    <w:rsid w:val="00A400AD"/>
    <w:rsid w:val="00A57D14"/>
    <w:rsid w:val="00A71E0A"/>
    <w:rsid w:val="00A72FC6"/>
    <w:rsid w:val="00A749E6"/>
    <w:rsid w:val="00A76E13"/>
    <w:rsid w:val="00AB58A5"/>
    <w:rsid w:val="00AC0685"/>
    <w:rsid w:val="00AD4094"/>
    <w:rsid w:val="00AE31A2"/>
    <w:rsid w:val="00AF3109"/>
    <w:rsid w:val="00B6142D"/>
    <w:rsid w:val="00B66304"/>
    <w:rsid w:val="00BB576E"/>
    <w:rsid w:val="00BD6D4D"/>
    <w:rsid w:val="00BE0F45"/>
    <w:rsid w:val="00BF1AC8"/>
    <w:rsid w:val="00C03729"/>
    <w:rsid w:val="00C12BCE"/>
    <w:rsid w:val="00C140E5"/>
    <w:rsid w:val="00C44B7F"/>
    <w:rsid w:val="00C53A76"/>
    <w:rsid w:val="00C60303"/>
    <w:rsid w:val="00C63728"/>
    <w:rsid w:val="00C70790"/>
    <w:rsid w:val="00C71928"/>
    <w:rsid w:val="00CB2A27"/>
    <w:rsid w:val="00CC4A24"/>
    <w:rsid w:val="00CD2DB0"/>
    <w:rsid w:val="00D40306"/>
    <w:rsid w:val="00D42EBF"/>
    <w:rsid w:val="00D431E1"/>
    <w:rsid w:val="00D43C30"/>
    <w:rsid w:val="00D444EC"/>
    <w:rsid w:val="00D64B49"/>
    <w:rsid w:val="00D92ADE"/>
    <w:rsid w:val="00DB1CF8"/>
    <w:rsid w:val="00DB290B"/>
    <w:rsid w:val="00DB39DF"/>
    <w:rsid w:val="00DC0A13"/>
    <w:rsid w:val="00DC4B65"/>
    <w:rsid w:val="00DE0F38"/>
    <w:rsid w:val="00DE3D1B"/>
    <w:rsid w:val="00DE665C"/>
    <w:rsid w:val="00E01EEE"/>
    <w:rsid w:val="00E0338D"/>
    <w:rsid w:val="00E21B9F"/>
    <w:rsid w:val="00E62C7F"/>
    <w:rsid w:val="00E75E67"/>
    <w:rsid w:val="00E96256"/>
    <w:rsid w:val="00EA6582"/>
    <w:rsid w:val="00EC7173"/>
    <w:rsid w:val="00EC7DBD"/>
    <w:rsid w:val="00ED16D6"/>
    <w:rsid w:val="00ED1751"/>
    <w:rsid w:val="00F06F0C"/>
    <w:rsid w:val="00F079CD"/>
    <w:rsid w:val="00F124AF"/>
    <w:rsid w:val="00F20DB1"/>
    <w:rsid w:val="00F2114E"/>
    <w:rsid w:val="00F3187F"/>
    <w:rsid w:val="00F35823"/>
    <w:rsid w:val="00F47936"/>
    <w:rsid w:val="00F620F6"/>
    <w:rsid w:val="00F64616"/>
    <w:rsid w:val="00F713A1"/>
    <w:rsid w:val="00F87236"/>
    <w:rsid w:val="00F874C8"/>
    <w:rsid w:val="00F87D08"/>
    <w:rsid w:val="00F95E63"/>
    <w:rsid w:val="00FA0061"/>
    <w:rsid w:val="00FF7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A6AC2"/>
  <w15:chartTrackingRefBased/>
  <w15:docId w15:val="{D00CCACD-C6B2-4994-B167-58F8E8964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62C7F"/>
    <w:rPr>
      <w:sz w:val="16"/>
      <w:szCs w:val="16"/>
    </w:rPr>
  </w:style>
  <w:style w:type="paragraph" w:styleId="CommentText">
    <w:name w:val="annotation text"/>
    <w:basedOn w:val="Normal"/>
    <w:link w:val="CommentTextChar"/>
    <w:uiPriority w:val="99"/>
    <w:unhideWhenUsed/>
    <w:rsid w:val="00E62C7F"/>
    <w:pPr>
      <w:spacing w:line="240" w:lineRule="auto"/>
    </w:pPr>
    <w:rPr>
      <w:sz w:val="20"/>
      <w:szCs w:val="20"/>
    </w:rPr>
  </w:style>
  <w:style w:type="character" w:customStyle="1" w:styleId="CommentTextChar">
    <w:name w:val="Comment Text Char"/>
    <w:basedOn w:val="DefaultParagraphFont"/>
    <w:link w:val="CommentText"/>
    <w:uiPriority w:val="99"/>
    <w:rsid w:val="00E62C7F"/>
    <w:rPr>
      <w:sz w:val="20"/>
      <w:szCs w:val="20"/>
    </w:rPr>
  </w:style>
  <w:style w:type="paragraph" w:styleId="CommentSubject">
    <w:name w:val="annotation subject"/>
    <w:basedOn w:val="CommentText"/>
    <w:next w:val="CommentText"/>
    <w:link w:val="CommentSubjectChar"/>
    <w:uiPriority w:val="99"/>
    <w:semiHidden/>
    <w:unhideWhenUsed/>
    <w:rsid w:val="00E62C7F"/>
    <w:rPr>
      <w:b/>
      <w:bCs/>
    </w:rPr>
  </w:style>
  <w:style w:type="character" w:customStyle="1" w:styleId="CommentSubjectChar">
    <w:name w:val="Comment Subject Char"/>
    <w:basedOn w:val="CommentTextChar"/>
    <w:link w:val="CommentSubject"/>
    <w:uiPriority w:val="99"/>
    <w:semiHidden/>
    <w:rsid w:val="00E62C7F"/>
    <w:rPr>
      <w:b/>
      <w:bCs/>
      <w:sz w:val="20"/>
      <w:szCs w:val="20"/>
    </w:rPr>
  </w:style>
  <w:style w:type="paragraph" w:styleId="BalloonText">
    <w:name w:val="Balloon Text"/>
    <w:basedOn w:val="Normal"/>
    <w:link w:val="BalloonTextChar"/>
    <w:uiPriority w:val="99"/>
    <w:semiHidden/>
    <w:unhideWhenUsed/>
    <w:rsid w:val="00E62C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2C7F"/>
    <w:rPr>
      <w:rFonts w:ascii="Segoe UI" w:hAnsi="Segoe UI" w:cs="Segoe UI"/>
      <w:sz w:val="18"/>
      <w:szCs w:val="18"/>
    </w:rPr>
  </w:style>
  <w:style w:type="paragraph" w:styleId="ListParagraph">
    <w:name w:val="List Paragraph"/>
    <w:aliases w:val="Bullet List,FooterText,MCHIP_list paragraph,List Paragraph1,Recommendation,List Paragraph (numbered (a)),Dot pt,F5 List Paragraph,No Spacing1,List Paragraph Char Char Char,Indicator Text,Numbered Para 1,MAIN CONTENT,references,References"/>
    <w:basedOn w:val="Normal"/>
    <w:link w:val="ListParagraphChar"/>
    <w:uiPriority w:val="34"/>
    <w:qFormat/>
    <w:rsid w:val="002747AF"/>
    <w:pPr>
      <w:spacing w:after="0" w:line="240" w:lineRule="auto"/>
      <w:ind w:left="720"/>
    </w:pPr>
    <w:rPr>
      <w:rFonts w:ascii="Calibri" w:hAnsi="Calibri" w:cs="Calibri"/>
    </w:rPr>
  </w:style>
  <w:style w:type="character" w:customStyle="1" w:styleId="ListParagraphChar">
    <w:name w:val="List Paragraph Char"/>
    <w:aliases w:val="Bullet List Char,FooterText Char,MCHIP_list paragraph Char,List Paragraph1 Char,Recommendation Char,List Paragraph (numbered (a)) Char,Dot pt Char,F5 List Paragraph Char,No Spacing1 Char,List Paragraph Char Char Char Char"/>
    <w:basedOn w:val="DefaultParagraphFont"/>
    <w:link w:val="ListParagraph"/>
    <w:uiPriority w:val="34"/>
    <w:qFormat/>
    <w:rsid w:val="002747AF"/>
    <w:rPr>
      <w:rFonts w:ascii="Calibri" w:hAnsi="Calibri" w:cs="Calibri"/>
    </w:rPr>
  </w:style>
  <w:style w:type="character" w:styleId="Hyperlink">
    <w:name w:val="Hyperlink"/>
    <w:basedOn w:val="DefaultParagraphFont"/>
    <w:uiPriority w:val="99"/>
    <w:unhideWhenUsed/>
    <w:rsid w:val="002747AF"/>
    <w:rPr>
      <w:color w:val="0563C1" w:themeColor="hyperlink"/>
      <w:u w:val="single"/>
    </w:rPr>
  </w:style>
  <w:style w:type="character" w:styleId="UnresolvedMention">
    <w:name w:val="Unresolved Mention"/>
    <w:basedOn w:val="DefaultParagraphFont"/>
    <w:uiPriority w:val="99"/>
    <w:semiHidden/>
    <w:unhideWhenUsed/>
    <w:rsid w:val="00347769"/>
    <w:rPr>
      <w:color w:val="605E5C"/>
      <w:shd w:val="clear" w:color="auto" w:fill="E1DFDD"/>
    </w:rPr>
  </w:style>
  <w:style w:type="character" w:styleId="FollowedHyperlink">
    <w:name w:val="FollowedHyperlink"/>
    <w:basedOn w:val="DefaultParagraphFont"/>
    <w:uiPriority w:val="99"/>
    <w:semiHidden/>
    <w:unhideWhenUsed/>
    <w:rsid w:val="000E7AD5"/>
    <w:rPr>
      <w:color w:val="954F72" w:themeColor="followedHyperlink"/>
      <w:u w:val="single"/>
    </w:rPr>
  </w:style>
  <w:style w:type="character" w:customStyle="1" w:styleId="markfpj1yes7q">
    <w:name w:val="markfpj1yes7q"/>
    <w:basedOn w:val="DefaultParagraphFont"/>
    <w:rsid w:val="00816AC5"/>
  </w:style>
  <w:style w:type="character" w:styleId="PlaceholderText">
    <w:name w:val="Placeholder Text"/>
    <w:basedOn w:val="DefaultParagraphFont"/>
    <w:uiPriority w:val="99"/>
    <w:semiHidden/>
    <w:rsid w:val="00A22F4A"/>
    <w:rPr>
      <w:color w:val="808080"/>
    </w:rPr>
  </w:style>
  <w:style w:type="paragraph" w:customStyle="1" w:styleId="Default">
    <w:name w:val="Default"/>
    <w:rsid w:val="00D4030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4660">
      <w:bodyDiv w:val="1"/>
      <w:marLeft w:val="0"/>
      <w:marRight w:val="0"/>
      <w:marTop w:val="0"/>
      <w:marBottom w:val="0"/>
      <w:divBdr>
        <w:top w:val="none" w:sz="0" w:space="0" w:color="auto"/>
        <w:left w:val="none" w:sz="0" w:space="0" w:color="auto"/>
        <w:bottom w:val="none" w:sz="0" w:space="0" w:color="auto"/>
        <w:right w:val="none" w:sz="0" w:space="0" w:color="auto"/>
      </w:divBdr>
    </w:div>
    <w:div w:id="191000313">
      <w:bodyDiv w:val="1"/>
      <w:marLeft w:val="0"/>
      <w:marRight w:val="0"/>
      <w:marTop w:val="0"/>
      <w:marBottom w:val="0"/>
      <w:divBdr>
        <w:top w:val="none" w:sz="0" w:space="0" w:color="auto"/>
        <w:left w:val="none" w:sz="0" w:space="0" w:color="auto"/>
        <w:bottom w:val="none" w:sz="0" w:space="0" w:color="auto"/>
        <w:right w:val="none" w:sz="0" w:space="0" w:color="auto"/>
      </w:divBdr>
    </w:div>
    <w:div w:id="427700309">
      <w:bodyDiv w:val="1"/>
      <w:marLeft w:val="0"/>
      <w:marRight w:val="0"/>
      <w:marTop w:val="0"/>
      <w:marBottom w:val="0"/>
      <w:divBdr>
        <w:top w:val="none" w:sz="0" w:space="0" w:color="auto"/>
        <w:left w:val="none" w:sz="0" w:space="0" w:color="auto"/>
        <w:bottom w:val="none" w:sz="0" w:space="0" w:color="auto"/>
        <w:right w:val="none" w:sz="0" w:space="0" w:color="auto"/>
      </w:divBdr>
    </w:div>
    <w:div w:id="722025747">
      <w:bodyDiv w:val="1"/>
      <w:marLeft w:val="0"/>
      <w:marRight w:val="0"/>
      <w:marTop w:val="0"/>
      <w:marBottom w:val="0"/>
      <w:divBdr>
        <w:top w:val="none" w:sz="0" w:space="0" w:color="auto"/>
        <w:left w:val="none" w:sz="0" w:space="0" w:color="auto"/>
        <w:bottom w:val="none" w:sz="0" w:space="0" w:color="auto"/>
        <w:right w:val="none" w:sz="0" w:space="0" w:color="auto"/>
      </w:divBdr>
    </w:div>
    <w:div w:id="741605996">
      <w:bodyDiv w:val="1"/>
      <w:marLeft w:val="0"/>
      <w:marRight w:val="0"/>
      <w:marTop w:val="0"/>
      <w:marBottom w:val="0"/>
      <w:divBdr>
        <w:top w:val="none" w:sz="0" w:space="0" w:color="auto"/>
        <w:left w:val="none" w:sz="0" w:space="0" w:color="auto"/>
        <w:bottom w:val="none" w:sz="0" w:space="0" w:color="auto"/>
        <w:right w:val="none" w:sz="0" w:space="0" w:color="auto"/>
      </w:divBdr>
    </w:div>
    <w:div w:id="1094860120">
      <w:bodyDiv w:val="1"/>
      <w:marLeft w:val="0"/>
      <w:marRight w:val="0"/>
      <w:marTop w:val="0"/>
      <w:marBottom w:val="0"/>
      <w:divBdr>
        <w:top w:val="none" w:sz="0" w:space="0" w:color="auto"/>
        <w:left w:val="none" w:sz="0" w:space="0" w:color="auto"/>
        <w:bottom w:val="none" w:sz="0" w:space="0" w:color="auto"/>
        <w:right w:val="none" w:sz="0" w:space="0" w:color="auto"/>
      </w:divBdr>
    </w:div>
    <w:div w:id="1328900465">
      <w:bodyDiv w:val="1"/>
      <w:marLeft w:val="0"/>
      <w:marRight w:val="0"/>
      <w:marTop w:val="0"/>
      <w:marBottom w:val="0"/>
      <w:divBdr>
        <w:top w:val="none" w:sz="0" w:space="0" w:color="auto"/>
        <w:left w:val="none" w:sz="0" w:space="0" w:color="auto"/>
        <w:bottom w:val="none" w:sz="0" w:space="0" w:color="auto"/>
        <w:right w:val="none" w:sz="0" w:space="0" w:color="auto"/>
      </w:divBdr>
    </w:div>
    <w:div w:id="1477382369">
      <w:bodyDiv w:val="1"/>
      <w:marLeft w:val="0"/>
      <w:marRight w:val="0"/>
      <w:marTop w:val="0"/>
      <w:marBottom w:val="0"/>
      <w:divBdr>
        <w:top w:val="none" w:sz="0" w:space="0" w:color="auto"/>
        <w:left w:val="none" w:sz="0" w:space="0" w:color="auto"/>
        <w:bottom w:val="none" w:sz="0" w:space="0" w:color="auto"/>
        <w:right w:val="none" w:sz="0" w:space="0" w:color="auto"/>
      </w:divBdr>
    </w:div>
    <w:div w:id="1774010037">
      <w:bodyDiv w:val="1"/>
      <w:marLeft w:val="0"/>
      <w:marRight w:val="0"/>
      <w:marTop w:val="0"/>
      <w:marBottom w:val="0"/>
      <w:divBdr>
        <w:top w:val="none" w:sz="0" w:space="0" w:color="auto"/>
        <w:left w:val="none" w:sz="0" w:space="0" w:color="auto"/>
        <w:bottom w:val="none" w:sz="0" w:space="0" w:color="auto"/>
        <w:right w:val="none" w:sz="0" w:space="0" w:color="auto"/>
      </w:divBdr>
    </w:div>
    <w:div w:id="1792822442">
      <w:bodyDiv w:val="1"/>
      <w:marLeft w:val="0"/>
      <w:marRight w:val="0"/>
      <w:marTop w:val="0"/>
      <w:marBottom w:val="0"/>
      <w:divBdr>
        <w:top w:val="none" w:sz="0" w:space="0" w:color="auto"/>
        <w:left w:val="none" w:sz="0" w:space="0" w:color="auto"/>
        <w:bottom w:val="none" w:sz="0" w:space="0" w:color="auto"/>
        <w:right w:val="none" w:sz="0" w:space="0" w:color="auto"/>
      </w:divBdr>
    </w:div>
    <w:div w:id="1817212224">
      <w:bodyDiv w:val="1"/>
      <w:marLeft w:val="0"/>
      <w:marRight w:val="0"/>
      <w:marTop w:val="0"/>
      <w:marBottom w:val="0"/>
      <w:divBdr>
        <w:top w:val="none" w:sz="0" w:space="0" w:color="auto"/>
        <w:left w:val="none" w:sz="0" w:space="0" w:color="auto"/>
        <w:bottom w:val="none" w:sz="0" w:space="0" w:color="auto"/>
        <w:right w:val="none" w:sz="0" w:space="0" w:color="auto"/>
      </w:divBdr>
    </w:div>
    <w:div w:id="2091730251">
      <w:bodyDiv w:val="1"/>
      <w:marLeft w:val="0"/>
      <w:marRight w:val="0"/>
      <w:marTop w:val="0"/>
      <w:marBottom w:val="0"/>
      <w:divBdr>
        <w:top w:val="none" w:sz="0" w:space="0" w:color="auto"/>
        <w:left w:val="none" w:sz="0" w:space="0" w:color="auto"/>
        <w:bottom w:val="none" w:sz="0" w:space="0" w:color="auto"/>
        <w:right w:val="none" w:sz="0" w:space="0" w:color="auto"/>
      </w:divBdr>
    </w:div>
    <w:div w:id="209809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image" Target="media/image1.emf"/><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E2C985-6C8A-4FEB-85A8-C3E87E8ADDD3}">
  <ds:schemaRefs>
    <ds:schemaRef ds:uri="http://schemas.microsoft.com/office/2006/metadata/customXsn"/>
  </ds:schemaRefs>
</ds:datastoreItem>
</file>

<file path=customXml/itemProps2.xml><?xml version="1.0" encoding="utf-8"?>
<ds:datastoreItem xmlns:ds="http://schemas.openxmlformats.org/officeDocument/2006/customXml" ds:itemID="{87D3A426-D4A1-4802-9EBD-9F8B998AC48B}">
  <ds:schemaRefs>
    <ds:schemaRef ds:uri="http://schemas.microsoft.com/sharepoint/events"/>
  </ds:schemaRefs>
</ds:datastoreItem>
</file>

<file path=customXml/itemProps3.xml><?xml version="1.0" encoding="utf-8"?>
<ds:datastoreItem xmlns:ds="http://schemas.openxmlformats.org/officeDocument/2006/customXml" ds:itemID="{DE892DDC-B80B-41E6-91EB-4779C6C2EAEF}">
  <ds:schemaRefs>
    <ds:schemaRef ds:uri="Microsoft.SharePoint.Taxonomy.ContentTypeSync"/>
  </ds:schemaRefs>
</ds:datastoreItem>
</file>

<file path=customXml/itemProps4.xml><?xml version="1.0" encoding="utf-8"?>
<ds:datastoreItem xmlns:ds="http://schemas.openxmlformats.org/officeDocument/2006/customXml" ds:itemID="{AA79D96C-600C-4925-939F-5018CB986C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83abda1d-1a90-4caa-8671-ec4651ff3890"/>
    <ds:schemaRef ds:uri="d4f25281-9e58-49c1-bb7b-ad118a0222b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A938F87-B1B9-4C88-875B-DF325804AC01}">
  <ds:schemaRefs>
    <ds:schemaRef ds:uri="http://schemas.microsoft.com/office/2006/metadata/properties"/>
    <ds:schemaRef ds:uri="http://schemas.microsoft.com/office/infopath/2007/PartnerControls"/>
    <ds:schemaRef ds:uri="83abda1d-1a90-4caa-8671-ec4651ff3890"/>
    <ds:schemaRef ds:uri="ca283e0b-db31-4043-a2ef-b80661bf084a"/>
    <ds:schemaRef ds:uri="d4f25281-9e58-49c1-bb7b-ad118a0222b0"/>
    <ds:schemaRef ds:uri="http://schemas.microsoft.com/sharepoint/v4"/>
    <ds:schemaRef ds:uri="http://schemas.microsoft.com/sharepoint.v3"/>
    <ds:schemaRef ds:uri="http://schemas.microsoft.com/sharepoint/v3"/>
  </ds:schemaRefs>
</ds:datastoreItem>
</file>

<file path=customXml/itemProps6.xml><?xml version="1.0" encoding="utf-8"?>
<ds:datastoreItem xmlns:ds="http://schemas.openxmlformats.org/officeDocument/2006/customXml" ds:itemID="{D1E6DA9E-3D27-4A35-BC30-35F72BA2A0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2044</Words>
  <Characters>11655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Lailuma Shirzad</dc:creator>
  <cp:keywords/>
  <dc:description/>
  <cp:lastModifiedBy>Lailuma Shirzad</cp:lastModifiedBy>
  <cp:revision>3</cp:revision>
  <cp:lastPrinted>2021-09-08T16:13:00Z</cp:lastPrinted>
  <dcterms:created xsi:type="dcterms:W3CDTF">2021-09-09T19:15:00Z</dcterms:created>
  <dcterms:modified xsi:type="dcterms:W3CDTF">2021-09-09T19:15:00Z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