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577F4" w14:textId="77777777" w:rsidR="000F28A0" w:rsidRPr="00590CF8" w:rsidRDefault="000F28A0" w:rsidP="000F28A0">
      <w:pPr>
        <w:pStyle w:val="HEADING"/>
        <w:rPr>
          <w:lang w:val="fr-FR"/>
        </w:rPr>
      </w:pPr>
      <w:r w:rsidRPr="00590CF8">
        <w:rPr>
          <w:lang w:val="fr-FR"/>
        </w:rPr>
        <w:t>Termes De Références</w:t>
      </w:r>
    </w:p>
    <w:p w14:paraId="2A87BD75" w14:textId="77777777" w:rsidR="000F28A0" w:rsidRPr="00917349" w:rsidRDefault="000F28A0" w:rsidP="000F28A0">
      <w:pPr>
        <w:spacing w:line="240" w:lineRule="auto"/>
        <w:jc w:val="center"/>
        <w:rPr>
          <w:rFonts w:ascii="Calibri Light" w:hAnsi="Calibri Light" w:cs="Calibri Light"/>
          <w:b/>
          <w:color w:val="0070C0"/>
          <w:szCs w:val="18"/>
        </w:rPr>
      </w:pPr>
      <w:r>
        <w:rPr>
          <w:rFonts w:ascii="Calibri Light" w:eastAsia="Times New Roman" w:hAnsi="Calibri Light" w:cs="Calibri Light"/>
          <w:b/>
          <w:color w:val="0070C0"/>
          <w:szCs w:val="18"/>
          <w:lang w:bidi="fr-FR"/>
        </w:rPr>
        <w:t>R</w:t>
      </w:r>
      <w:r w:rsidRPr="00917349">
        <w:rPr>
          <w:rFonts w:ascii="Calibri Light" w:eastAsia="Times New Roman" w:hAnsi="Calibri Light" w:cs="Calibri Light"/>
          <w:b/>
          <w:color w:val="0070C0"/>
          <w:szCs w:val="18"/>
          <w:lang w:bidi="fr-FR"/>
        </w:rPr>
        <w:t xml:space="preserve">echerche participative </w:t>
      </w:r>
      <w:r w:rsidRPr="00917349">
        <w:rPr>
          <w:rFonts w:ascii="Calibri Light" w:hAnsi="Calibri Light" w:cs="Calibri Light"/>
          <w:b/>
          <w:color w:val="0070C0"/>
          <w:szCs w:val="18"/>
        </w:rPr>
        <w:t>sur les rôles et besoins des femmes et des jeunes filles dans le sud de la Tunisie (</w:t>
      </w:r>
      <w:r>
        <w:rPr>
          <w:rFonts w:ascii="Calibri Light" w:hAnsi="Calibri Light" w:cs="Calibri Light"/>
          <w:b/>
          <w:color w:val="0070C0"/>
          <w:szCs w:val="18"/>
        </w:rPr>
        <w:t xml:space="preserve">avec focus </w:t>
      </w:r>
      <w:r w:rsidRPr="00917349">
        <w:rPr>
          <w:rFonts w:ascii="Calibri Light" w:hAnsi="Calibri Light" w:cs="Calibri Light"/>
          <w:b/>
          <w:color w:val="0070C0"/>
          <w:szCs w:val="18"/>
        </w:rPr>
        <w:t>sur les opportunités économiques) et leur implication pour la cohésion sociale</w:t>
      </w:r>
    </w:p>
    <w:p w14:paraId="347C080C" w14:textId="77777777" w:rsidR="000F28A0" w:rsidRDefault="00C927D5" w:rsidP="000F28A0">
      <w:pPr>
        <w:jc w:val="center"/>
        <w:rPr>
          <w:rStyle w:val="Hyperlink"/>
          <w:rFonts w:ascii="Calibri" w:hAnsi="Calibri"/>
          <w:i/>
          <w:iCs/>
          <w:sz w:val="20"/>
          <w:szCs w:val="20"/>
          <w:lang w:val="en-GB"/>
        </w:rPr>
      </w:pPr>
      <w:hyperlink r:id="rId7">
        <w:r w:rsidR="000F28A0" w:rsidRPr="00D96C2E">
          <w:rPr>
            <w:rStyle w:val="Hyperlink"/>
            <w:rFonts w:ascii="Calibri" w:hAnsi="Calibri"/>
            <w:i/>
            <w:iCs/>
            <w:sz w:val="20"/>
            <w:szCs w:val="20"/>
            <w:lang w:val="en-GB"/>
          </w:rPr>
          <w:t xml:space="preserve">Link to Guidelines on Writing TOR </w:t>
        </w:r>
      </w:hyperlink>
    </w:p>
    <w:p w14:paraId="154D8655" w14:textId="77777777" w:rsidR="000F28A0" w:rsidRDefault="000F28A0" w:rsidP="000F28A0">
      <w:pPr>
        <w:jc w:val="center"/>
        <w:rPr>
          <w:rStyle w:val="Hyperlink"/>
          <w:rFonts w:ascii="Calibri" w:hAnsi="Calibri"/>
          <w:i/>
          <w:iCs/>
          <w:sz w:val="20"/>
          <w:szCs w:val="20"/>
          <w:lang w:val="en-GB"/>
        </w:rPr>
      </w:pPr>
    </w:p>
    <w:p w14:paraId="5A2739C7" w14:textId="77777777" w:rsidR="000F28A0" w:rsidRPr="00947DBF" w:rsidRDefault="000F28A0" w:rsidP="000F28A0">
      <w:pPr>
        <w:pStyle w:val="ListParagraph"/>
        <w:numPr>
          <w:ilvl w:val="0"/>
          <w:numId w:val="1"/>
        </w:numPr>
        <w:contextualSpacing/>
        <w:jc w:val="both"/>
        <w:rPr>
          <w:rFonts w:asciiTheme="minorHAnsi" w:hAnsiTheme="minorHAnsi" w:cstheme="minorHAnsi"/>
          <w:b/>
          <w:bCs/>
          <w:color w:val="000000"/>
          <w:spacing w:val="-3"/>
          <w:sz w:val="26"/>
          <w:szCs w:val="26"/>
          <w:lang w:bidi="fr-FR"/>
        </w:rPr>
      </w:pPr>
      <w:r w:rsidRPr="00947DBF">
        <w:rPr>
          <w:rFonts w:asciiTheme="minorHAnsi" w:hAnsiTheme="minorHAnsi" w:cstheme="minorHAnsi"/>
          <w:b/>
          <w:bCs/>
          <w:color w:val="000000"/>
          <w:spacing w:val="-3"/>
          <w:sz w:val="26"/>
          <w:szCs w:val="26"/>
          <w:lang w:bidi="fr-FR"/>
        </w:rPr>
        <w:t xml:space="preserve">Introduction </w:t>
      </w:r>
    </w:p>
    <w:p w14:paraId="2DE06B66" w14:textId="77777777" w:rsidR="000F28A0" w:rsidRPr="00590CF8" w:rsidRDefault="000F28A0" w:rsidP="000F28A0">
      <w:pPr>
        <w:pStyle w:val="ListParagraph"/>
        <w:numPr>
          <w:ilvl w:val="1"/>
          <w:numId w:val="1"/>
        </w:numPr>
        <w:ind w:left="709"/>
        <w:contextualSpacing/>
        <w:jc w:val="both"/>
        <w:rPr>
          <w:rFonts w:asciiTheme="minorHAnsi" w:hAnsiTheme="minorHAnsi" w:cstheme="minorHAnsi"/>
          <w:b/>
          <w:bCs/>
          <w:color w:val="000000"/>
          <w:spacing w:val="-3"/>
          <w:sz w:val="24"/>
          <w:szCs w:val="24"/>
          <w:lang w:val="fr-FR" w:bidi="fr-FR"/>
        </w:rPr>
      </w:pPr>
      <w:r w:rsidRPr="00590CF8">
        <w:rPr>
          <w:rFonts w:asciiTheme="minorHAnsi" w:hAnsiTheme="minorHAnsi" w:cstheme="minorHAnsi"/>
          <w:b/>
          <w:bCs/>
          <w:color w:val="000000"/>
          <w:spacing w:val="-3"/>
          <w:sz w:val="24"/>
          <w:szCs w:val="24"/>
          <w:lang w:val="fr-FR" w:bidi="fr-FR"/>
        </w:rPr>
        <w:t>Contexte / cadre des services requis / résultats</w:t>
      </w:r>
    </w:p>
    <w:p w14:paraId="1584F54F" w14:textId="77777777" w:rsidR="000F28A0" w:rsidRPr="00590CF8" w:rsidRDefault="000F28A0" w:rsidP="000F28A0">
      <w:pPr>
        <w:pStyle w:val="ListParagraph"/>
        <w:ind w:left="709"/>
        <w:contextualSpacing/>
        <w:jc w:val="both"/>
        <w:rPr>
          <w:rFonts w:asciiTheme="minorHAnsi" w:hAnsiTheme="minorHAnsi" w:cstheme="minorHAnsi"/>
          <w:b/>
          <w:bCs/>
          <w:color w:val="000000"/>
          <w:spacing w:val="-3"/>
          <w:lang w:val="fr-FR" w:bidi="fr-FR"/>
        </w:rPr>
      </w:pPr>
    </w:p>
    <w:p w14:paraId="28C39597" w14:textId="77777777" w:rsidR="000F28A0" w:rsidRPr="00B33DA5" w:rsidRDefault="000F28A0" w:rsidP="000F28A0">
      <w:pPr>
        <w:spacing w:after="0" w:line="240" w:lineRule="auto"/>
        <w:ind w:left="29"/>
        <w:jc w:val="both"/>
        <w:rPr>
          <w:rFonts w:eastAsia="Times New Roman" w:cs="Calibri"/>
          <w:bCs/>
          <w:color w:val="000000"/>
          <w:spacing w:val="-3"/>
          <w:lang w:bidi="fr-FR"/>
        </w:rPr>
      </w:pPr>
      <w:r w:rsidRPr="00AE6726">
        <w:rPr>
          <w:rFonts w:eastAsia="Times New Roman" w:cs="Calibri"/>
          <w:bCs/>
          <w:color w:val="000000"/>
          <w:spacing w:val="-3"/>
          <w:lang w:bidi="fr-FR"/>
        </w:rPr>
        <w:t xml:space="preserve">La situation politique et socio-économique en Tunisie est fragile depuis la révolution de 2011. La période de transition a connu une </w:t>
      </w:r>
      <w:r w:rsidRPr="00B33DA5">
        <w:rPr>
          <w:rFonts w:eastAsia="Times New Roman" w:cs="Calibri"/>
          <w:bCs/>
          <w:color w:val="000000"/>
          <w:spacing w:val="-3"/>
          <w:lang w:bidi="fr-FR"/>
        </w:rPr>
        <w:t xml:space="preserve">augmentation de la violence politique et du terrorisme, principalement alimentée par la marginalisation socio-économique des jeunes, la discrimination géographique, le sentiment d'humiliation et d'injustice, le manque de confiance dans l'État et la connexion entre les groupes djihadistes en Libye et en Tunisie. </w:t>
      </w:r>
    </w:p>
    <w:p w14:paraId="724E9D0A" w14:textId="77777777" w:rsidR="000F28A0" w:rsidRPr="00AE6726" w:rsidRDefault="000F28A0" w:rsidP="000F28A0">
      <w:pPr>
        <w:spacing w:after="0" w:line="240" w:lineRule="auto"/>
        <w:ind w:left="29"/>
        <w:jc w:val="both"/>
        <w:rPr>
          <w:rFonts w:eastAsia="Times New Roman" w:cs="Calibri"/>
          <w:bCs/>
          <w:color w:val="000000"/>
          <w:spacing w:val="-3"/>
          <w:lang w:bidi="fr-FR"/>
        </w:rPr>
      </w:pPr>
      <w:r w:rsidRPr="00B33DA5">
        <w:rPr>
          <w:rFonts w:eastAsia="Times New Roman" w:cs="Calibri"/>
          <w:bCs/>
          <w:color w:val="000000"/>
          <w:spacing w:val="-3"/>
          <w:lang w:bidi="fr-FR"/>
        </w:rPr>
        <w:t>Ces dernières années, les autorités ont dû intervenir pour mettre un terme aux complots terroristes de cellules radicalisées ayant prêté allégeance au Groupe Etat Islamique ainsi</w:t>
      </w:r>
      <w:r w:rsidRPr="00AE6726">
        <w:rPr>
          <w:rFonts w:eastAsia="Times New Roman" w:cs="Calibri"/>
          <w:bCs/>
          <w:color w:val="000000"/>
          <w:spacing w:val="-3"/>
          <w:lang w:bidi="fr-FR"/>
        </w:rPr>
        <w:t xml:space="preserve"> qu'à l'importation illégale d'armes en provenance de Libye. Des milliers de Tunisiens - dont beaucoup avaient été entraînés en Libye – ava</w:t>
      </w:r>
      <w:r>
        <w:rPr>
          <w:rFonts w:eastAsia="Times New Roman" w:cs="Calibri"/>
          <w:bCs/>
          <w:color w:val="000000"/>
          <w:spacing w:val="-3"/>
          <w:lang w:bidi="fr-FR"/>
        </w:rPr>
        <w:t>ien</w:t>
      </w:r>
      <w:r w:rsidRPr="00AE6726">
        <w:rPr>
          <w:rFonts w:eastAsia="Times New Roman" w:cs="Calibri"/>
          <w:bCs/>
          <w:color w:val="000000"/>
          <w:spacing w:val="-3"/>
          <w:lang w:bidi="fr-FR"/>
        </w:rPr>
        <w:t>t rejoin</w:t>
      </w:r>
      <w:r>
        <w:rPr>
          <w:rFonts w:eastAsia="Times New Roman" w:cs="Calibri"/>
          <w:bCs/>
          <w:color w:val="000000"/>
          <w:spacing w:val="-3"/>
          <w:lang w:bidi="fr-FR"/>
        </w:rPr>
        <w:t>t</w:t>
      </w:r>
      <w:r w:rsidRPr="00AE6726">
        <w:rPr>
          <w:rFonts w:eastAsia="Times New Roman" w:cs="Calibri"/>
          <w:bCs/>
          <w:color w:val="000000"/>
          <w:spacing w:val="-3"/>
          <w:lang w:bidi="fr-FR"/>
        </w:rPr>
        <w:t xml:space="preserve"> Le groupe Etat Islamique en tant que combattants étrangers (dont environ 700 femmes).</w:t>
      </w:r>
    </w:p>
    <w:p w14:paraId="4CEB8B02" w14:textId="77777777" w:rsidR="000F28A0" w:rsidRPr="00AE6726" w:rsidRDefault="000F28A0" w:rsidP="000F28A0">
      <w:pPr>
        <w:spacing w:after="0" w:line="240" w:lineRule="auto"/>
        <w:ind w:left="29"/>
        <w:jc w:val="both"/>
        <w:rPr>
          <w:rFonts w:eastAsia="Times New Roman" w:cs="Calibri"/>
          <w:bCs/>
          <w:spacing w:val="-3"/>
          <w:lang w:bidi="fr-FR"/>
        </w:rPr>
      </w:pPr>
      <w:r w:rsidRPr="00AE6726">
        <w:rPr>
          <w:rFonts w:eastAsia="Times New Roman" w:cs="Calibri"/>
          <w:bCs/>
          <w:color w:val="000000"/>
          <w:spacing w:val="-3"/>
          <w:lang w:bidi="fr-FR"/>
        </w:rPr>
        <w:t xml:space="preserve">En outre, les mesures de réponse du gouvernement, aussi nécessaires soient-elles, ont encore mis en danger les moyens de subsistance de nombreux </w:t>
      </w:r>
      <w:r>
        <w:rPr>
          <w:rFonts w:eastAsia="Times New Roman" w:cs="Calibri"/>
          <w:bCs/>
          <w:color w:val="000000"/>
          <w:spacing w:val="-3"/>
          <w:lang w:bidi="fr-FR"/>
        </w:rPr>
        <w:t>T</w:t>
      </w:r>
      <w:r w:rsidRPr="00AE6726">
        <w:rPr>
          <w:rFonts w:eastAsia="Times New Roman" w:cs="Calibri"/>
          <w:bCs/>
          <w:color w:val="000000"/>
          <w:spacing w:val="-3"/>
          <w:lang w:bidi="fr-FR"/>
        </w:rPr>
        <w:t xml:space="preserve">unisiens et </w:t>
      </w:r>
      <w:r>
        <w:rPr>
          <w:rFonts w:eastAsia="Times New Roman" w:cs="Calibri"/>
          <w:bCs/>
          <w:color w:val="000000"/>
          <w:spacing w:val="-3"/>
          <w:lang w:bidi="fr-FR"/>
        </w:rPr>
        <w:t>T</w:t>
      </w:r>
      <w:r w:rsidRPr="00AE6726">
        <w:rPr>
          <w:rFonts w:eastAsia="Times New Roman" w:cs="Calibri"/>
          <w:bCs/>
          <w:color w:val="000000"/>
          <w:spacing w:val="-3"/>
          <w:lang w:bidi="fr-FR"/>
        </w:rPr>
        <w:t xml:space="preserve">unisiennes, en particulier ceux et celles qui ont un emploi informel et qui sont issus de </w:t>
      </w:r>
      <w:r w:rsidRPr="00AE6726">
        <w:rPr>
          <w:rFonts w:eastAsia="Times New Roman" w:cs="Calibri"/>
          <w:bCs/>
          <w:spacing w:val="-3"/>
          <w:lang w:bidi="fr-FR"/>
        </w:rPr>
        <w:t xml:space="preserve">familles à faibles revenus. Les jeunes, en particulier, sont désenchantés et sont descendus dans la rue pour protester contre ces mesures. Plus de la moitié des Tunisiens âgés de 18 à 24 ans veulent quitter le pays. Cette tranche d'âge présente également les taux de suicide les plus élevés. </w:t>
      </w:r>
    </w:p>
    <w:p w14:paraId="0340A7AB" w14:textId="77777777" w:rsidR="000F28A0" w:rsidRPr="00AE6726" w:rsidRDefault="000F28A0" w:rsidP="000F28A0">
      <w:pPr>
        <w:spacing w:after="0" w:line="240" w:lineRule="auto"/>
        <w:ind w:left="29"/>
        <w:jc w:val="both"/>
        <w:rPr>
          <w:rFonts w:eastAsia="Times New Roman" w:cs="Calibri"/>
          <w:bCs/>
          <w:spacing w:val="-3"/>
          <w:lang w:bidi="fr-FR"/>
        </w:rPr>
      </w:pPr>
      <w:r w:rsidRPr="00AE6726">
        <w:rPr>
          <w:rFonts w:eastAsia="Times New Roman" w:cs="Calibri"/>
          <w:bCs/>
          <w:spacing w:val="-3"/>
          <w:lang w:bidi="fr-FR"/>
        </w:rPr>
        <w:t xml:space="preserve">En 2019, le chômage des jeunes a été estimé par l'OIT à 36,26 </w:t>
      </w:r>
      <w:r w:rsidRPr="00C11364">
        <w:rPr>
          <w:rFonts w:eastAsia="Times New Roman" w:cs="Calibri"/>
          <w:bCs/>
          <w:spacing w:val="-3"/>
          <w:lang w:bidi="fr-FR"/>
        </w:rPr>
        <w:t>%, avec un taux beaucoup plus élevé pour les diplômés et les femmes. Dans l'ensemble, les femmes et les jeunes filles ont été laissées pour compte, avec des vulnérabilités particulières, nécessitant des programmes ciblés et distincts qui répondent</w:t>
      </w:r>
      <w:r w:rsidRPr="00AE6726">
        <w:rPr>
          <w:rFonts w:eastAsia="Times New Roman" w:cs="Calibri"/>
          <w:bCs/>
          <w:spacing w:val="-3"/>
          <w:lang w:bidi="fr-FR"/>
        </w:rPr>
        <w:t xml:space="preserve"> à leurs besoins de protection ainsi qu'aux obstacles qu'elles rencontrent en matière de participation à l'alerte précoce, à la prévention et au maintien de la paix. </w:t>
      </w:r>
    </w:p>
    <w:p w14:paraId="626CF9BA" w14:textId="77777777" w:rsidR="000F28A0" w:rsidRPr="00AE6726" w:rsidRDefault="000F28A0" w:rsidP="000F28A0">
      <w:pPr>
        <w:spacing w:after="0" w:line="240" w:lineRule="auto"/>
        <w:ind w:left="29"/>
        <w:jc w:val="both"/>
        <w:rPr>
          <w:rFonts w:eastAsia="Times New Roman" w:cs="Calibri"/>
          <w:bCs/>
          <w:spacing w:val="-3"/>
          <w:lang w:bidi="fr-FR"/>
        </w:rPr>
      </w:pPr>
      <w:r w:rsidRPr="00AE6726">
        <w:rPr>
          <w:rFonts w:eastAsia="Times New Roman" w:cs="Calibri"/>
          <w:bCs/>
          <w:spacing w:val="-3"/>
          <w:lang w:bidi="fr-FR"/>
        </w:rPr>
        <w:t>En raison des mesures d'isolement prises en réponse à la COVID-19, la violence sexiste a considérablement augmenté, tandis que l'accès à la justice et aux services de planification familiale a encore diminué.</w:t>
      </w:r>
    </w:p>
    <w:p w14:paraId="09B52DAB" w14:textId="77777777" w:rsidR="000F28A0" w:rsidRPr="00AE6726" w:rsidRDefault="000F28A0" w:rsidP="000F28A0">
      <w:pPr>
        <w:spacing w:after="0" w:line="240" w:lineRule="auto"/>
        <w:jc w:val="both"/>
        <w:rPr>
          <w:rFonts w:cs="Calibri"/>
        </w:rPr>
      </w:pPr>
      <w:r w:rsidRPr="00AE6726">
        <w:rPr>
          <w:rFonts w:cs="Calibri"/>
        </w:rPr>
        <w:t>Du point de vue de la paix positive, la recherche menée par l’Institute for Economics and Peace sur le lien entre épanouissement de la jeunesse, entrepreneuriat social des femmes et la pérennisation de la paix a mis en évidence une forte corrélation entre l’indice de paix positive (une mesure des attitudes, institutions et structures favorisant la paix) et l’indice de développement de la jeunesse et des femmes. Dans un environnement favorable où le potentiel des jeunes peut s’épanouir, le dividende démographique n’est pas seulement économique, car il contribue aussi à rendre un certain degré de stabilité et de résilience au marché du travail, en particulier dans les zones pouvant basculer dans la violence et l’extrémisme violent</w:t>
      </w:r>
      <w:r w:rsidRPr="00AE6726">
        <w:rPr>
          <w:rStyle w:val="FootnoteReference"/>
          <w:rFonts w:cs="Calibri"/>
          <w:lang w:val="en-CA"/>
        </w:rPr>
        <w:footnoteReference w:id="1"/>
      </w:r>
      <w:r w:rsidRPr="00AE6726">
        <w:rPr>
          <w:rFonts w:cs="Calibri"/>
        </w:rPr>
        <w:t>.</w:t>
      </w:r>
    </w:p>
    <w:p w14:paraId="06A59C1E" w14:textId="77777777" w:rsidR="000F28A0" w:rsidRPr="00AE6726" w:rsidRDefault="000F28A0" w:rsidP="000F28A0">
      <w:pPr>
        <w:spacing w:after="0" w:line="240" w:lineRule="auto"/>
        <w:ind w:left="29"/>
        <w:jc w:val="both"/>
        <w:rPr>
          <w:rFonts w:eastAsia="Times New Roman" w:cs="Calibri"/>
          <w:bCs/>
          <w:spacing w:val="-3"/>
          <w:lang w:bidi="fr-FR"/>
        </w:rPr>
      </w:pPr>
      <w:r w:rsidRPr="00AE6726">
        <w:rPr>
          <w:rFonts w:eastAsia="Times New Roman" w:cs="Calibri"/>
          <w:bCs/>
          <w:spacing w:val="-3"/>
          <w:lang w:bidi="fr-FR"/>
        </w:rPr>
        <w:t>Connaissant la fonction cruciale des femmes pour la cohésion sociale et leurs divers rôles face à l'extrémisme violent, la violation de leurs droits au cours des derniers mois est préoccupante et nous invite à trouver des pistes d'action adéquates à leurs besoins immédiats.</w:t>
      </w:r>
    </w:p>
    <w:p w14:paraId="1A62D7B5" w14:textId="77777777" w:rsidR="000F28A0" w:rsidRPr="00AE6726" w:rsidRDefault="000F28A0" w:rsidP="000F28A0">
      <w:pPr>
        <w:spacing w:after="0" w:line="240" w:lineRule="auto"/>
        <w:jc w:val="both"/>
        <w:rPr>
          <w:rFonts w:cs="Calibri"/>
        </w:rPr>
      </w:pPr>
      <w:r w:rsidRPr="00AE6726">
        <w:rPr>
          <w:rFonts w:cs="Calibri"/>
        </w:rPr>
        <w:lastRenderedPageBreak/>
        <w:t xml:space="preserve">Cependant, il manque des recherches nécessaires pour identifier les besoins des femmes dans le sud de la Tunisie, en particulier en ce qui concerne le bien être, la qualité de la croissance économique comme moyen de prévenir l'exclusion, l'instabilité et la radicalisation des communautés vulnérables, en particulier dans le contexte de la pandémie Covid </w:t>
      </w:r>
      <w:r>
        <w:rPr>
          <w:rFonts w:cs="Calibri"/>
        </w:rPr>
        <w:t>-</w:t>
      </w:r>
      <w:r w:rsidRPr="00AE6726">
        <w:rPr>
          <w:rFonts w:cs="Calibri"/>
        </w:rPr>
        <w:t xml:space="preserve">19 et son impact sur les femmes vivant de l’agriculture, du tourisme et de l’artisanat. </w:t>
      </w:r>
    </w:p>
    <w:p w14:paraId="5CFA060E" w14:textId="77777777" w:rsidR="000F28A0" w:rsidRPr="00AE6726" w:rsidRDefault="000F28A0" w:rsidP="000F28A0">
      <w:pPr>
        <w:spacing w:after="0" w:line="240" w:lineRule="auto"/>
        <w:jc w:val="both"/>
        <w:rPr>
          <w:rFonts w:eastAsia="Times New Roman" w:cs="Calibri"/>
          <w:b/>
          <w:bCs/>
          <w:spacing w:val="-3"/>
          <w:lang w:bidi="fr-FR"/>
        </w:rPr>
      </w:pPr>
    </w:p>
    <w:p w14:paraId="7EC735FA" w14:textId="77777777" w:rsidR="000F28A0" w:rsidRPr="00590CF8" w:rsidRDefault="000F28A0" w:rsidP="000F28A0">
      <w:pPr>
        <w:pStyle w:val="ListParagraph"/>
        <w:numPr>
          <w:ilvl w:val="1"/>
          <w:numId w:val="1"/>
        </w:numPr>
        <w:ind w:left="709"/>
        <w:contextualSpacing/>
        <w:jc w:val="both"/>
        <w:rPr>
          <w:rFonts w:asciiTheme="minorHAnsi" w:hAnsiTheme="minorHAnsi" w:cstheme="minorHAnsi"/>
          <w:b/>
          <w:bCs/>
          <w:color w:val="000000"/>
          <w:spacing w:val="-3"/>
          <w:sz w:val="24"/>
          <w:szCs w:val="24"/>
          <w:lang w:val="fr-FR" w:bidi="fr-FR"/>
        </w:rPr>
      </w:pPr>
      <w:r w:rsidRPr="00590CF8">
        <w:rPr>
          <w:rFonts w:asciiTheme="minorHAnsi" w:hAnsiTheme="minorHAnsi" w:cstheme="minorHAnsi"/>
          <w:b/>
          <w:bCs/>
          <w:color w:val="000000"/>
          <w:spacing w:val="-3"/>
          <w:sz w:val="24"/>
          <w:szCs w:val="24"/>
          <w:lang w:val="fr-FR" w:bidi="fr-FR"/>
        </w:rPr>
        <w:t xml:space="preserve">Aperçu général des services requis / résultats  </w:t>
      </w:r>
    </w:p>
    <w:p w14:paraId="3B6EB16E" w14:textId="77777777" w:rsidR="000F28A0" w:rsidRPr="00590CF8" w:rsidRDefault="000F28A0" w:rsidP="000F28A0">
      <w:pPr>
        <w:pStyle w:val="ListParagraph"/>
        <w:ind w:left="709"/>
        <w:contextualSpacing/>
        <w:jc w:val="both"/>
        <w:rPr>
          <w:rFonts w:asciiTheme="minorHAnsi" w:hAnsiTheme="minorHAnsi" w:cstheme="minorHAnsi"/>
          <w:b/>
          <w:bCs/>
          <w:color w:val="000000"/>
          <w:spacing w:val="-3"/>
          <w:sz w:val="24"/>
          <w:szCs w:val="24"/>
          <w:lang w:val="fr-FR" w:bidi="fr-FR"/>
        </w:rPr>
      </w:pPr>
    </w:p>
    <w:p w14:paraId="20999B4F" w14:textId="77777777" w:rsidR="000F28A0" w:rsidRPr="00AE6726" w:rsidRDefault="000F28A0" w:rsidP="000F28A0">
      <w:pPr>
        <w:spacing w:after="0" w:line="240" w:lineRule="auto"/>
        <w:jc w:val="both"/>
        <w:rPr>
          <w:rFonts w:cs="Calibri"/>
        </w:rPr>
      </w:pPr>
      <w:r w:rsidRPr="00AE6726">
        <w:rPr>
          <w:rFonts w:eastAsia="Times New Roman" w:cs="Calibri"/>
          <w:spacing w:val="-3"/>
          <w:lang w:eastAsia="en-GB"/>
        </w:rPr>
        <w:t xml:space="preserve">C’est dans ce cadre que </w:t>
      </w:r>
      <w:r>
        <w:rPr>
          <w:rFonts w:eastAsia="Times New Roman" w:cs="Calibri"/>
          <w:spacing w:val="-3"/>
          <w:lang w:eastAsia="en-GB"/>
        </w:rPr>
        <w:t xml:space="preserve">s’inscrit </w:t>
      </w:r>
      <w:r w:rsidRPr="00AE6726">
        <w:rPr>
          <w:rFonts w:eastAsia="Times New Roman" w:cs="Calibri"/>
          <w:spacing w:val="-3"/>
          <w:lang w:eastAsia="en-GB"/>
        </w:rPr>
        <w:t xml:space="preserve">cet appel à proposition. </w:t>
      </w:r>
      <w:r w:rsidRPr="00AE6726">
        <w:rPr>
          <w:rFonts w:cs="Calibri"/>
        </w:rPr>
        <w:t>Il prévoit le recrutement d’un institut ou laboratoire de recherche ou un bureau d’étude ou une organisation de la société civile</w:t>
      </w:r>
      <w:r>
        <w:rPr>
          <w:rFonts w:cs="Calibri"/>
        </w:rPr>
        <w:t>,</w:t>
      </w:r>
      <w:r w:rsidRPr="00AE6726">
        <w:rPr>
          <w:rFonts w:cs="Calibri"/>
        </w:rPr>
        <w:t xml:space="preserve"> international ou national</w:t>
      </w:r>
      <w:r>
        <w:rPr>
          <w:rFonts w:cs="Calibri"/>
        </w:rPr>
        <w:t>,</w:t>
      </w:r>
      <w:r w:rsidRPr="00AE6726">
        <w:rPr>
          <w:rFonts w:cs="Calibri"/>
        </w:rPr>
        <w:t xml:space="preserve"> pour mener une étude participative sur les rôles et besoins des femmes et des jeunes filles dans le sud de la Tunisie (en mettant l'accent sur les opportunités économiques) et leur implication pour la cohésion sociale.</w:t>
      </w:r>
      <w:r>
        <w:rPr>
          <w:rFonts w:cs="Calibri"/>
        </w:rPr>
        <w:t xml:space="preserve"> </w:t>
      </w:r>
      <w:r w:rsidRPr="00AE6726">
        <w:rPr>
          <w:rFonts w:eastAsia="Times New Roman" w:cs="Calibri"/>
          <w:spacing w:val="-3"/>
          <w:lang w:eastAsia="en-GB"/>
        </w:rPr>
        <w:t>Il fait partie du projet d’ONU</w:t>
      </w:r>
      <w:r>
        <w:rPr>
          <w:rFonts w:eastAsia="Times New Roman" w:cs="Calibri"/>
          <w:spacing w:val="-3"/>
          <w:lang w:eastAsia="en-GB"/>
        </w:rPr>
        <w:t xml:space="preserve"> </w:t>
      </w:r>
      <w:r w:rsidRPr="00AE6726">
        <w:rPr>
          <w:rFonts w:eastAsia="Times New Roman" w:cs="Calibri"/>
          <w:spacing w:val="-3"/>
          <w:lang w:eastAsia="en-GB"/>
        </w:rPr>
        <w:t>Femmes Tunisie, intitulé : « </w:t>
      </w:r>
      <w:r w:rsidRPr="00AE6726">
        <w:rPr>
          <w:rFonts w:cs="Calibri"/>
          <w:b/>
          <w:i/>
        </w:rPr>
        <w:t>Des femmes autonomes pour des communautés résilientes et pacifiques dans le sud de la Tunisie »</w:t>
      </w:r>
      <w:r w:rsidRPr="00AE6726">
        <w:rPr>
          <w:rFonts w:cs="Calibri"/>
          <w:b/>
        </w:rPr>
        <w:t>,</w:t>
      </w:r>
      <w:r>
        <w:rPr>
          <w:rFonts w:cs="Calibri"/>
          <w:b/>
        </w:rPr>
        <w:t xml:space="preserve"> </w:t>
      </w:r>
      <w:r w:rsidRPr="00AE6726">
        <w:rPr>
          <w:rFonts w:cs="Calibri"/>
        </w:rPr>
        <w:t>appuyé par le gouvernement du Japon.</w:t>
      </w:r>
    </w:p>
    <w:p w14:paraId="3FE7F114" w14:textId="77777777" w:rsidR="000F28A0" w:rsidRPr="00AE6726" w:rsidRDefault="000F28A0" w:rsidP="000F28A0">
      <w:pPr>
        <w:spacing w:after="0" w:line="240" w:lineRule="auto"/>
        <w:jc w:val="both"/>
        <w:rPr>
          <w:rFonts w:cs="Calibri"/>
        </w:rPr>
      </w:pPr>
      <w:r w:rsidRPr="00AE6726">
        <w:rPr>
          <w:rFonts w:cs="Calibri"/>
        </w:rPr>
        <w:t xml:space="preserve">Cette étude de recherche devra être menée dans </w:t>
      </w:r>
      <w:r>
        <w:rPr>
          <w:rFonts w:cs="Calibri"/>
        </w:rPr>
        <w:t>sept</w:t>
      </w:r>
      <w:r w:rsidRPr="00AE6726">
        <w:rPr>
          <w:rFonts w:cs="Calibri"/>
        </w:rPr>
        <w:t xml:space="preserve"> </w:t>
      </w:r>
      <w:r>
        <w:rPr>
          <w:rFonts w:cs="Calibri"/>
        </w:rPr>
        <w:t>c</w:t>
      </w:r>
      <w:r w:rsidRPr="00AE6726">
        <w:rPr>
          <w:rFonts w:cs="Calibri"/>
        </w:rPr>
        <w:t xml:space="preserve">ommunes (Gouvernorat de Gabès : </w:t>
      </w:r>
      <w:r>
        <w:rPr>
          <w:rFonts w:cs="Calibri"/>
        </w:rPr>
        <w:t>c</w:t>
      </w:r>
      <w:r w:rsidRPr="00AE6726">
        <w:rPr>
          <w:rFonts w:cs="Calibri"/>
        </w:rPr>
        <w:t xml:space="preserve">ommune de Gabès ; Gouvernorat de Médenine : communes de Zarzis, Ajim, Djerba, Ben Guerdane ; Gouvernorat de Tataouine : communes de Tataouine et de Ramada). </w:t>
      </w:r>
    </w:p>
    <w:p w14:paraId="40185BC4" w14:textId="77777777" w:rsidR="000F28A0" w:rsidRPr="00AE6726" w:rsidRDefault="000F28A0" w:rsidP="000F28A0">
      <w:pPr>
        <w:spacing w:after="0" w:line="240" w:lineRule="auto"/>
        <w:jc w:val="both"/>
        <w:rPr>
          <w:rFonts w:cs="Calibri"/>
        </w:rPr>
      </w:pPr>
      <w:r w:rsidRPr="00AE6726">
        <w:rPr>
          <w:rFonts w:cs="Calibri"/>
        </w:rPr>
        <w:t xml:space="preserve">Elle devra être conduite de manière participative avec </w:t>
      </w:r>
      <w:r w:rsidRPr="00AE6726">
        <w:rPr>
          <w:rStyle w:val="jlqj4b"/>
          <w:rFonts w:cs="Calibri"/>
        </w:rPr>
        <w:t xml:space="preserve">210 femmes et jeunes filles (30 par municipalité ; 70% de jeunes femmes ; 30% de femmes âgées) et impliquer au moins 420 membres masculins de la famille </w:t>
      </w:r>
      <w:r>
        <w:rPr>
          <w:rStyle w:val="jlqj4b"/>
          <w:rFonts w:cs="Calibri"/>
        </w:rPr>
        <w:t xml:space="preserve">en rapport avec </w:t>
      </w:r>
      <w:r w:rsidRPr="00AE6726">
        <w:rPr>
          <w:rStyle w:val="jlqj4b"/>
          <w:rFonts w:cs="Calibri"/>
        </w:rPr>
        <w:t>les 210 femmes engagées dans l'étude participative.</w:t>
      </w:r>
    </w:p>
    <w:p w14:paraId="01853D55" w14:textId="77777777" w:rsidR="000F28A0" w:rsidRPr="00AE6726" w:rsidRDefault="000F28A0" w:rsidP="000F28A0">
      <w:pPr>
        <w:spacing w:after="0" w:line="240" w:lineRule="auto"/>
        <w:jc w:val="both"/>
        <w:rPr>
          <w:rFonts w:cs="Calibri"/>
        </w:rPr>
      </w:pPr>
      <w:r w:rsidRPr="00AE6726">
        <w:rPr>
          <w:rStyle w:val="jlqj4b"/>
          <w:rFonts w:cs="Calibri"/>
        </w:rPr>
        <w:t xml:space="preserve">L’étude devra </w:t>
      </w:r>
      <w:r w:rsidRPr="00AE6726">
        <w:rPr>
          <w:rFonts w:cs="Calibri"/>
        </w:rPr>
        <w:t xml:space="preserve">se baser sur les recherches déjà menées et identifier l’art et le métier de la médiation et des négociations locales des femmes et jeunes filles du Sud de la Tunisie pour les environnements conflictuels dans lesquels elles vivent. </w:t>
      </w:r>
    </w:p>
    <w:p w14:paraId="6F8E9229" w14:textId="77777777" w:rsidR="000F28A0" w:rsidRPr="00AE6726" w:rsidRDefault="000F28A0" w:rsidP="000F28A0">
      <w:pPr>
        <w:spacing w:after="0" w:line="240" w:lineRule="auto"/>
        <w:jc w:val="both"/>
        <w:rPr>
          <w:rFonts w:cs="Calibri"/>
        </w:rPr>
      </w:pPr>
      <w:r w:rsidRPr="00AE6726">
        <w:rPr>
          <w:rFonts w:cs="Calibri"/>
        </w:rPr>
        <w:t>Analyser les espaces existants permettant aux femmes d'imaginer des plans de paix, lorsque les négociations sont dans l'impasse ou dans le désarroi</w:t>
      </w:r>
      <w:r w:rsidRPr="00AE6726">
        <w:rPr>
          <w:rStyle w:val="FootnoteReference"/>
          <w:rFonts w:cs="Calibri"/>
          <w:lang w:val="en-CA"/>
        </w:rPr>
        <w:footnoteReference w:id="2"/>
      </w:r>
      <w:r w:rsidRPr="00AE6726">
        <w:rPr>
          <w:rFonts w:cs="Calibri"/>
        </w:rPr>
        <w:t>.</w:t>
      </w:r>
    </w:p>
    <w:p w14:paraId="4B8A1626" w14:textId="77777777" w:rsidR="000F28A0" w:rsidRPr="00AE6726" w:rsidRDefault="000F28A0" w:rsidP="000F28A0">
      <w:pPr>
        <w:spacing w:after="0" w:line="240" w:lineRule="auto"/>
        <w:jc w:val="both"/>
        <w:rPr>
          <w:rFonts w:cs="Calibri"/>
        </w:rPr>
      </w:pPr>
      <w:r w:rsidRPr="00AE6726">
        <w:rPr>
          <w:rFonts w:cs="Calibri"/>
        </w:rPr>
        <w:t>Il sera également important de vérifier si des mesures pour atténuer le refoulement et libérer le potentiel de leadership des femmes en tant qu'agents actifs d'une paix positive sont mises en œuvre au niveau local.</w:t>
      </w:r>
    </w:p>
    <w:p w14:paraId="0B807A5D" w14:textId="77777777" w:rsidR="000F28A0" w:rsidRPr="00AE6726" w:rsidRDefault="000F28A0" w:rsidP="000F28A0">
      <w:pPr>
        <w:spacing w:after="0" w:line="240" w:lineRule="auto"/>
        <w:jc w:val="both"/>
        <w:rPr>
          <w:rFonts w:cs="Calibri"/>
        </w:rPr>
      </w:pPr>
      <w:r w:rsidRPr="00AE6726">
        <w:rPr>
          <w:rFonts w:cs="Calibri"/>
        </w:rPr>
        <w:t>Par</w:t>
      </w:r>
      <w:r>
        <w:rPr>
          <w:rFonts w:cs="Calibri"/>
        </w:rPr>
        <w:t xml:space="preserve"> </w:t>
      </w:r>
      <w:r w:rsidRPr="00AE6726">
        <w:rPr>
          <w:rFonts w:cs="Calibri"/>
        </w:rPr>
        <w:t xml:space="preserve">dessus tout, il est à rechercher si des cibles des ODDs 8, 5 et 16 sont atteintes et proposer des pistes d’amélioration. </w:t>
      </w:r>
    </w:p>
    <w:p w14:paraId="5AE2EAFF" w14:textId="77777777" w:rsidR="000F28A0" w:rsidRPr="00AE6726" w:rsidRDefault="000F28A0" w:rsidP="000F28A0">
      <w:pPr>
        <w:spacing w:after="0" w:line="240" w:lineRule="auto"/>
        <w:jc w:val="both"/>
        <w:rPr>
          <w:rFonts w:cs="Calibri"/>
        </w:rPr>
      </w:pPr>
      <w:r w:rsidRPr="00AE6726">
        <w:rPr>
          <w:rFonts w:cs="Calibri"/>
        </w:rPr>
        <w:t>Les constats empiriques incontournables présentés dans des recherches</w:t>
      </w:r>
      <w:r w:rsidRPr="00AE6726">
        <w:rPr>
          <w:rStyle w:val="FootnoteReference"/>
          <w:rFonts w:cs="Calibri"/>
          <w:lang w:val="en-CA"/>
        </w:rPr>
        <w:footnoteReference w:id="3"/>
      </w:r>
      <w:r w:rsidRPr="00AE6726">
        <w:rPr>
          <w:rFonts w:cs="Calibri"/>
        </w:rPr>
        <w:t xml:space="preserve"> montrent qu’un investissement dans la cible 5.5 pourrait mobiliser le potentiel des femmes à accéder aux responsabilités, favoriser leur participation véritable à la prise de décisions, et contribuer ainsi à pérenniser la paix et le développement</w:t>
      </w:r>
      <w:r w:rsidRPr="00AE6726">
        <w:rPr>
          <w:rStyle w:val="FootnoteReference"/>
          <w:rFonts w:cs="Calibri"/>
          <w:lang w:val="en-CA"/>
        </w:rPr>
        <w:footnoteReference w:id="4"/>
      </w:r>
      <w:r w:rsidRPr="00AE6726">
        <w:rPr>
          <w:rFonts w:cs="Calibri"/>
        </w:rPr>
        <w:t xml:space="preserve">. </w:t>
      </w:r>
    </w:p>
    <w:p w14:paraId="4E5E0EBB" w14:textId="77777777" w:rsidR="000F28A0" w:rsidRPr="00590CF8" w:rsidRDefault="000F28A0" w:rsidP="000F28A0">
      <w:pPr>
        <w:jc w:val="both"/>
        <w:rPr>
          <w:rStyle w:val="Hyperlink"/>
          <w:rFonts w:ascii="Calibri" w:hAnsi="Calibri"/>
          <w:i/>
          <w:iCs/>
          <w:sz w:val="20"/>
          <w:szCs w:val="20"/>
          <w:lang w:val="fr-FR"/>
        </w:rPr>
      </w:pPr>
      <w:r w:rsidRPr="00AE6726">
        <w:rPr>
          <w:rFonts w:cs="Calibri"/>
        </w:rPr>
        <w:t>A cet effet, l’étude devra faire ressortir les liens existant entre les ODD et leur potentiel à créer des conditions sociales, économiques et politiques dans les communes cibles et parmi les bénéficiaires, susceptibles de prévenir le déclenchement d’un conflit violent et de jeter les bases d’une paix et d’un développement durables. Enfin, l’étude devra équiper les autorités locales, médias et organisations de la société civile (OSC) d'outils pour soutenir le rôle des femmes dans la promotion de communautés résilientes, pacifiques et égalitaires.</w:t>
      </w:r>
    </w:p>
    <w:p w14:paraId="0967EA76" w14:textId="77777777" w:rsidR="000F28A0" w:rsidRPr="00590CF8" w:rsidRDefault="000F28A0" w:rsidP="000F28A0">
      <w:pPr>
        <w:jc w:val="center"/>
        <w:rPr>
          <w:rStyle w:val="Hyperlink"/>
          <w:rFonts w:ascii="Calibri" w:hAnsi="Calibri"/>
          <w:i/>
          <w:iCs/>
          <w:sz w:val="20"/>
          <w:szCs w:val="20"/>
          <w:lang w:val="fr-FR"/>
        </w:rPr>
      </w:pPr>
    </w:p>
    <w:p w14:paraId="729A7221" w14:textId="77777777" w:rsidR="000F28A0" w:rsidRPr="00590CF8" w:rsidRDefault="000F28A0" w:rsidP="000F28A0">
      <w:pPr>
        <w:pStyle w:val="ListParagraph"/>
        <w:numPr>
          <w:ilvl w:val="0"/>
          <w:numId w:val="1"/>
        </w:numPr>
        <w:contextualSpacing/>
        <w:jc w:val="both"/>
        <w:rPr>
          <w:rFonts w:asciiTheme="minorHAnsi" w:hAnsiTheme="minorHAnsi" w:cstheme="minorHAnsi"/>
          <w:b/>
          <w:bCs/>
          <w:color w:val="000000"/>
          <w:spacing w:val="-3"/>
          <w:sz w:val="26"/>
          <w:szCs w:val="26"/>
          <w:lang w:val="fr-FR" w:bidi="fr-FR"/>
        </w:rPr>
      </w:pPr>
      <w:r w:rsidRPr="00590CF8">
        <w:rPr>
          <w:rFonts w:asciiTheme="minorHAnsi" w:hAnsiTheme="minorHAnsi" w:cstheme="minorHAnsi"/>
          <w:b/>
          <w:bCs/>
          <w:color w:val="000000"/>
          <w:spacing w:val="-3"/>
          <w:sz w:val="26"/>
          <w:szCs w:val="26"/>
          <w:lang w:val="fr-FR" w:bidi="fr-FR"/>
        </w:rPr>
        <w:t>Description des services requis / résultats :</w:t>
      </w:r>
    </w:p>
    <w:p w14:paraId="2A193DD9" w14:textId="77777777" w:rsidR="000F28A0" w:rsidRPr="00947DBF" w:rsidRDefault="000F28A0" w:rsidP="000F28A0">
      <w:pPr>
        <w:tabs>
          <w:tab w:val="center" w:pos="4320"/>
          <w:tab w:val="right" w:pos="8640"/>
        </w:tabs>
        <w:spacing w:after="0" w:line="240" w:lineRule="auto"/>
        <w:jc w:val="both"/>
        <w:rPr>
          <w:rFonts w:eastAsia="Times New Roman" w:cstheme="minorHAnsi"/>
          <w:bCs/>
          <w:color w:val="000000"/>
          <w:spacing w:val="-3"/>
          <w:lang w:bidi="fr-FR"/>
        </w:rPr>
      </w:pPr>
      <w:r w:rsidRPr="00947DBF">
        <w:rPr>
          <w:rFonts w:eastAsia="Times New Roman" w:cstheme="minorHAnsi"/>
          <w:bCs/>
          <w:color w:val="000000"/>
          <w:spacing w:val="-3"/>
          <w:lang w:bidi="fr-FR"/>
        </w:rPr>
        <w:lastRenderedPageBreak/>
        <w:t>La mission du partenaire d'exécution et les lignes de collaboration consistent à :</w:t>
      </w:r>
    </w:p>
    <w:p w14:paraId="25666A00" w14:textId="77777777" w:rsidR="000F28A0" w:rsidRPr="00590CF8" w:rsidRDefault="000F28A0" w:rsidP="000F28A0">
      <w:pPr>
        <w:pStyle w:val="ListParagraph"/>
        <w:numPr>
          <w:ilvl w:val="0"/>
          <w:numId w:val="4"/>
        </w:numPr>
        <w:contextualSpacing/>
        <w:jc w:val="both"/>
        <w:rPr>
          <w:rFonts w:asciiTheme="minorHAnsi" w:hAnsiTheme="minorHAnsi" w:cstheme="minorHAnsi"/>
          <w:color w:val="000000"/>
          <w:sz w:val="22"/>
          <w:szCs w:val="22"/>
          <w:lang w:val="fr-FR"/>
        </w:rPr>
      </w:pPr>
      <w:r w:rsidRPr="00590CF8">
        <w:rPr>
          <w:rFonts w:asciiTheme="minorHAnsi" w:hAnsiTheme="minorHAnsi" w:cstheme="minorHAnsi"/>
          <w:color w:val="000000"/>
          <w:sz w:val="22"/>
          <w:szCs w:val="22"/>
          <w:lang w:val="fr-FR"/>
        </w:rPr>
        <w:t xml:space="preserve">Procéder à une recherche des derniers développements (depuis 2020 et l’apparition de la Covid-19), aux niveaux international et national en lien avec l’étude et procéder à une étude diagnostic des vulnérabilités et opportunités socio-économiques dans le Sud de la Tunisie. </w:t>
      </w:r>
    </w:p>
    <w:p w14:paraId="64FD565E" w14:textId="77777777" w:rsidR="000F28A0" w:rsidRPr="00590CF8" w:rsidRDefault="000F28A0" w:rsidP="000F28A0">
      <w:pPr>
        <w:pStyle w:val="ListParagraph"/>
        <w:numPr>
          <w:ilvl w:val="0"/>
          <w:numId w:val="4"/>
        </w:numPr>
        <w:contextualSpacing/>
        <w:jc w:val="both"/>
        <w:rPr>
          <w:rFonts w:asciiTheme="minorHAnsi" w:hAnsiTheme="minorHAnsi" w:cstheme="minorHAnsi"/>
          <w:color w:val="000000"/>
          <w:sz w:val="22"/>
          <w:szCs w:val="22"/>
          <w:lang w:val="fr-FR"/>
        </w:rPr>
      </w:pPr>
      <w:r w:rsidRPr="00590CF8">
        <w:rPr>
          <w:rFonts w:asciiTheme="minorHAnsi" w:hAnsiTheme="minorHAnsi" w:cstheme="minorHAnsi"/>
          <w:color w:val="000000"/>
          <w:sz w:val="22"/>
          <w:szCs w:val="22"/>
          <w:lang w:val="fr-FR"/>
        </w:rPr>
        <w:t>Organiser des ateliers de co-construction de l’étude de recherche avec les femmes, jeunes filles et garçons cibles ;</w:t>
      </w:r>
    </w:p>
    <w:p w14:paraId="65E74237" w14:textId="77777777" w:rsidR="000F28A0" w:rsidRPr="00590CF8" w:rsidRDefault="000F28A0" w:rsidP="000F28A0">
      <w:pPr>
        <w:pStyle w:val="ListParagraph"/>
        <w:numPr>
          <w:ilvl w:val="0"/>
          <w:numId w:val="4"/>
        </w:numPr>
        <w:contextualSpacing/>
        <w:jc w:val="both"/>
        <w:rPr>
          <w:rFonts w:asciiTheme="minorHAnsi" w:hAnsiTheme="minorHAnsi" w:cstheme="minorHAnsi"/>
          <w:color w:val="000000"/>
          <w:sz w:val="22"/>
          <w:szCs w:val="22"/>
          <w:lang w:val="fr-FR"/>
        </w:rPr>
      </w:pPr>
      <w:r w:rsidRPr="00590CF8">
        <w:rPr>
          <w:rFonts w:asciiTheme="minorHAnsi" w:hAnsiTheme="minorHAnsi" w:cstheme="minorHAnsi"/>
          <w:color w:val="000000"/>
          <w:sz w:val="22"/>
          <w:szCs w:val="22"/>
          <w:lang w:val="fr-FR"/>
        </w:rPr>
        <w:t>Procéder à une réflexion globale sur les conditions de leadership politique et entrepreneurial des femmes et des jeunes filles et garçons qui œuvrent pour la paix dans les zones cibles ;</w:t>
      </w:r>
    </w:p>
    <w:p w14:paraId="73E431A9" w14:textId="77777777" w:rsidR="000F28A0" w:rsidRPr="00590CF8" w:rsidRDefault="000F28A0" w:rsidP="000F28A0">
      <w:pPr>
        <w:pStyle w:val="ListParagraph"/>
        <w:numPr>
          <w:ilvl w:val="0"/>
          <w:numId w:val="4"/>
        </w:numPr>
        <w:contextualSpacing/>
        <w:jc w:val="both"/>
        <w:rPr>
          <w:rFonts w:asciiTheme="minorHAnsi" w:hAnsiTheme="minorHAnsi" w:cstheme="minorHAnsi"/>
          <w:color w:val="000000"/>
          <w:sz w:val="22"/>
          <w:szCs w:val="22"/>
          <w:lang w:val="fr-FR"/>
        </w:rPr>
      </w:pPr>
      <w:r w:rsidRPr="00590CF8">
        <w:rPr>
          <w:rFonts w:asciiTheme="minorHAnsi" w:hAnsiTheme="minorHAnsi" w:cstheme="minorHAnsi"/>
          <w:color w:val="000000"/>
          <w:sz w:val="22"/>
          <w:szCs w:val="22"/>
          <w:lang w:val="fr-FR"/>
        </w:rPr>
        <w:t>Rencontrer des jeunes et femmes leaders dans les communautés ; des entrepreneur(e)s, des organisations de la société civile ; les autorités locales ; le secteur privé ; les institutions représentatives des femmes entrepreneures et les institutions publiques et faîtières intervenantes dans le paysage entrepreneurial des jeunes et des femmes ;</w:t>
      </w:r>
    </w:p>
    <w:p w14:paraId="14522000" w14:textId="77777777" w:rsidR="000F28A0" w:rsidRPr="00590CF8" w:rsidRDefault="000F28A0" w:rsidP="000F28A0">
      <w:pPr>
        <w:pStyle w:val="ListParagraph"/>
        <w:numPr>
          <w:ilvl w:val="0"/>
          <w:numId w:val="4"/>
        </w:numPr>
        <w:contextualSpacing/>
        <w:jc w:val="both"/>
        <w:rPr>
          <w:rFonts w:asciiTheme="minorHAnsi" w:hAnsiTheme="minorHAnsi" w:cstheme="minorHAnsi"/>
          <w:color w:val="000000"/>
          <w:sz w:val="22"/>
          <w:szCs w:val="22"/>
          <w:lang w:val="fr-FR"/>
        </w:rPr>
      </w:pPr>
      <w:r w:rsidRPr="00590CF8">
        <w:rPr>
          <w:rFonts w:asciiTheme="minorHAnsi" w:hAnsiTheme="minorHAnsi" w:cstheme="minorHAnsi"/>
          <w:sz w:val="22"/>
          <w:szCs w:val="22"/>
          <w:lang w:val="fr-FR"/>
        </w:rPr>
        <w:t>Analyser les espaces existants permettant aux femmes et jeunes filles d'imaginer des plans de paix, lorsque les négociations sont dans l'impasse ou dans le désarroi</w:t>
      </w:r>
      <w:r w:rsidRPr="00C11364">
        <w:rPr>
          <w:rStyle w:val="FootnoteReference"/>
          <w:rFonts w:asciiTheme="minorHAnsi" w:hAnsiTheme="minorHAnsi" w:cstheme="minorHAnsi"/>
          <w:sz w:val="22"/>
          <w:szCs w:val="22"/>
          <w:lang w:val="en-CA"/>
        </w:rPr>
        <w:footnoteReference w:id="5"/>
      </w:r>
      <w:r w:rsidRPr="00590CF8">
        <w:rPr>
          <w:rFonts w:asciiTheme="minorHAnsi" w:hAnsiTheme="minorHAnsi" w:cstheme="minorHAnsi"/>
          <w:sz w:val="22"/>
          <w:szCs w:val="22"/>
          <w:lang w:val="fr-FR"/>
        </w:rPr>
        <w:t> ;</w:t>
      </w:r>
    </w:p>
    <w:p w14:paraId="2DA2605D" w14:textId="77777777" w:rsidR="000F28A0" w:rsidRPr="00590CF8" w:rsidRDefault="000F28A0" w:rsidP="000F28A0">
      <w:pPr>
        <w:pStyle w:val="ListParagraph"/>
        <w:numPr>
          <w:ilvl w:val="0"/>
          <w:numId w:val="4"/>
        </w:numPr>
        <w:contextualSpacing/>
        <w:jc w:val="both"/>
        <w:rPr>
          <w:rFonts w:asciiTheme="minorHAnsi" w:hAnsiTheme="minorHAnsi" w:cstheme="minorHAnsi"/>
          <w:color w:val="000000"/>
          <w:sz w:val="22"/>
          <w:szCs w:val="22"/>
          <w:lang w:val="fr-FR"/>
        </w:rPr>
      </w:pPr>
      <w:r w:rsidRPr="00590CF8">
        <w:rPr>
          <w:rFonts w:asciiTheme="minorHAnsi" w:hAnsiTheme="minorHAnsi" w:cstheme="minorHAnsi"/>
          <w:color w:val="000000"/>
          <w:sz w:val="22"/>
          <w:szCs w:val="22"/>
          <w:lang w:val="fr-FR"/>
        </w:rPr>
        <w:t>Sensibiliser les femmes et filles aux droits de l’homme, leur apprendre leurs droits et les services disponibles pour les appuyer ;</w:t>
      </w:r>
    </w:p>
    <w:p w14:paraId="4957AABF" w14:textId="77777777" w:rsidR="000F28A0" w:rsidRPr="00590CF8" w:rsidRDefault="000F28A0" w:rsidP="000F28A0">
      <w:pPr>
        <w:pStyle w:val="ListParagraph"/>
        <w:numPr>
          <w:ilvl w:val="0"/>
          <w:numId w:val="4"/>
        </w:numPr>
        <w:contextualSpacing/>
        <w:jc w:val="both"/>
        <w:rPr>
          <w:rFonts w:asciiTheme="minorHAnsi" w:hAnsiTheme="minorHAnsi" w:cstheme="minorHAnsi"/>
          <w:color w:val="000000"/>
          <w:sz w:val="22"/>
          <w:szCs w:val="22"/>
          <w:lang w:val="fr-FR"/>
        </w:rPr>
      </w:pPr>
      <w:r w:rsidRPr="00590CF8">
        <w:rPr>
          <w:rFonts w:asciiTheme="minorHAnsi" w:hAnsiTheme="minorHAnsi" w:cstheme="minorHAnsi"/>
          <w:color w:val="000000"/>
          <w:sz w:val="22"/>
          <w:szCs w:val="22"/>
          <w:lang w:val="fr-FR"/>
        </w:rPr>
        <w:t xml:space="preserve">Identifier les besoins nécessaires pour développer des compétences en matière de leadership, de prise de parole en public et en gestion d’un projet commercial ;  </w:t>
      </w:r>
    </w:p>
    <w:p w14:paraId="433E4EDB" w14:textId="77777777" w:rsidR="000F28A0" w:rsidRPr="00590CF8" w:rsidRDefault="000F28A0" w:rsidP="000F28A0">
      <w:pPr>
        <w:pStyle w:val="ListParagraph"/>
        <w:numPr>
          <w:ilvl w:val="0"/>
          <w:numId w:val="4"/>
        </w:numPr>
        <w:contextualSpacing/>
        <w:jc w:val="both"/>
        <w:rPr>
          <w:rFonts w:asciiTheme="minorHAnsi" w:hAnsiTheme="minorHAnsi" w:cstheme="minorHAnsi"/>
          <w:color w:val="000000"/>
          <w:sz w:val="22"/>
          <w:szCs w:val="22"/>
          <w:lang w:val="fr-FR"/>
        </w:rPr>
      </w:pPr>
      <w:r w:rsidRPr="00590CF8">
        <w:rPr>
          <w:rFonts w:asciiTheme="minorHAnsi" w:hAnsiTheme="minorHAnsi" w:cstheme="minorHAnsi"/>
          <w:color w:val="000000"/>
          <w:sz w:val="22"/>
          <w:szCs w:val="22"/>
          <w:lang w:val="fr-FR"/>
        </w:rPr>
        <w:t>Identifier les femmes et jeunes filles et garçons leaders dans les communes cibles et faire leur portrait (en accord avec eux) ;</w:t>
      </w:r>
    </w:p>
    <w:p w14:paraId="48640FDC" w14:textId="77777777" w:rsidR="000F28A0" w:rsidRPr="00590CF8" w:rsidRDefault="000F28A0" w:rsidP="000F28A0">
      <w:pPr>
        <w:pStyle w:val="ListParagraph"/>
        <w:numPr>
          <w:ilvl w:val="0"/>
          <w:numId w:val="4"/>
        </w:numPr>
        <w:contextualSpacing/>
        <w:jc w:val="both"/>
        <w:rPr>
          <w:rFonts w:asciiTheme="minorHAnsi" w:hAnsiTheme="minorHAnsi" w:cstheme="minorHAnsi"/>
          <w:sz w:val="22"/>
          <w:szCs w:val="22"/>
          <w:lang w:val="fr-FR"/>
        </w:rPr>
      </w:pPr>
      <w:r w:rsidRPr="00590CF8">
        <w:rPr>
          <w:rFonts w:asciiTheme="minorHAnsi" w:hAnsiTheme="minorHAnsi" w:cstheme="minorHAnsi"/>
          <w:sz w:val="22"/>
          <w:szCs w:val="22"/>
          <w:lang w:val="fr-FR"/>
        </w:rPr>
        <w:t xml:space="preserve">Identifier les indicateurs clés concernant la situation de ces femmes et jeunes filles et garçons en lien avec les </w:t>
      </w:r>
      <w:proofErr w:type="spellStart"/>
      <w:r w:rsidRPr="00590CF8">
        <w:rPr>
          <w:rFonts w:asciiTheme="minorHAnsi" w:hAnsiTheme="minorHAnsi" w:cstheme="minorHAnsi"/>
          <w:sz w:val="22"/>
          <w:szCs w:val="22"/>
          <w:lang w:val="fr-FR"/>
        </w:rPr>
        <w:t>ODDs</w:t>
      </w:r>
      <w:proofErr w:type="spellEnd"/>
      <w:r w:rsidRPr="00590CF8">
        <w:rPr>
          <w:rFonts w:asciiTheme="minorHAnsi" w:hAnsiTheme="minorHAnsi" w:cstheme="minorHAnsi"/>
          <w:sz w:val="22"/>
          <w:szCs w:val="22"/>
          <w:lang w:val="fr-FR"/>
        </w:rPr>
        <w:t> ;</w:t>
      </w:r>
    </w:p>
    <w:p w14:paraId="41C13EC4" w14:textId="77777777" w:rsidR="000F28A0" w:rsidRPr="00590CF8" w:rsidRDefault="000F28A0" w:rsidP="000F28A0">
      <w:pPr>
        <w:pStyle w:val="ListParagraph"/>
        <w:numPr>
          <w:ilvl w:val="0"/>
          <w:numId w:val="4"/>
        </w:numPr>
        <w:contextualSpacing/>
        <w:jc w:val="both"/>
        <w:rPr>
          <w:rFonts w:asciiTheme="minorHAnsi" w:hAnsiTheme="minorHAnsi" w:cstheme="minorHAnsi"/>
          <w:color w:val="000000"/>
          <w:sz w:val="22"/>
          <w:szCs w:val="22"/>
          <w:lang w:val="fr-FR"/>
        </w:rPr>
      </w:pPr>
      <w:r w:rsidRPr="00590CF8">
        <w:rPr>
          <w:rFonts w:asciiTheme="minorHAnsi" w:hAnsiTheme="minorHAnsi" w:cstheme="minorHAnsi"/>
          <w:color w:val="000000"/>
          <w:sz w:val="22"/>
          <w:szCs w:val="22"/>
          <w:lang w:val="fr-FR"/>
        </w:rPr>
        <w:t>Interpréter les résultats de l’enquête (les motivations, circonstances de création d’entreprise, financement/relations avec les institutions de financement, contraintes rencontrées, doléances des entrepreneures et propositions concrètes de promotion de l’entrepreneuriat féminin) et en faire une synthèse ;</w:t>
      </w:r>
    </w:p>
    <w:p w14:paraId="2D91C8DC" w14:textId="77777777" w:rsidR="000F28A0" w:rsidRPr="00590CF8" w:rsidRDefault="000F28A0" w:rsidP="000F28A0">
      <w:pPr>
        <w:pStyle w:val="ListParagraph"/>
        <w:numPr>
          <w:ilvl w:val="0"/>
          <w:numId w:val="4"/>
        </w:numPr>
        <w:contextualSpacing/>
        <w:jc w:val="both"/>
        <w:rPr>
          <w:rFonts w:asciiTheme="minorHAnsi" w:hAnsiTheme="minorHAnsi" w:cstheme="minorHAnsi"/>
          <w:color w:val="000000"/>
          <w:sz w:val="22"/>
          <w:szCs w:val="22"/>
          <w:lang w:val="fr-FR"/>
        </w:rPr>
      </w:pPr>
      <w:r w:rsidRPr="00590CF8">
        <w:rPr>
          <w:rFonts w:asciiTheme="minorHAnsi" w:hAnsiTheme="minorHAnsi" w:cstheme="minorHAnsi"/>
          <w:color w:val="000000"/>
          <w:sz w:val="22"/>
          <w:szCs w:val="22"/>
          <w:lang w:val="fr-FR"/>
        </w:rPr>
        <w:t>En tenant compte des résultats de l’enquête, faire une analyse approfondie des conditions économiques des jeunes et des femmes entrepreneurs ;</w:t>
      </w:r>
    </w:p>
    <w:p w14:paraId="4CD369BA" w14:textId="77777777" w:rsidR="000F28A0" w:rsidRPr="00590CF8" w:rsidRDefault="000F28A0" w:rsidP="000F28A0">
      <w:pPr>
        <w:pStyle w:val="ListParagraph"/>
        <w:numPr>
          <w:ilvl w:val="0"/>
          <w:numId w:val="4"/>
        </w:numPr>
        <w:contextualSpacing/>
        <w:jc w:val="both"/>
        <w:rPr>
          <w:rFonts w:asciiTheme="minorHAnsi" w:hAnsiTheme="minorHAnsi" w:cstheme="minorHAnsi"/>
          <w:color w:val="000000"/>
          <w:sz w:val="22"/>
          <w:szCs w:val="22"/>
          <w:lang w:val="fr-FR"/>
        </w:rPr>
      </w:pPr>
      <w:r w:rsidRPr="00590CF8">
        <w:rPr>
          <w:rFonts w:asciiTheme="minorHAnsi" w:hAnsiTheme="minorHAnsi" w:cstheme="minorHAnsi"/>
          <w:color w:val="000000"/>
          <w:sz w:val="22"/>
          <w:szCs w:val="22"/>
          <w:lang w:val="fr-FR"/>
        </w:rPr>
        <w:t>Comparer les conditions entrepreneuriales des jeunes et des femmes dans les zones cibles du sud avec celles de régions ou pays similaires ;</w:t>
      </w:r>
    </w:p>
    <w:p w14:paraId="658BDB2F" w14:textId="77777777" w:rsidR="000F28A0" w:rsidRPr="00590CF8" w:rsidRDefault="000F28A0" w:rsidP="000F28A0">
      <w:pPr>
        <w:pStyle w:val="ListParagraph"/>
        <w:numPr>
          <w:ilvl w:val="0"/>
          <w:numId w:val="4"/>
        </w:numPr>
        <w:contextualSpacing/>
        <w:jc w:val="both"/>
        <w:rPr>
          <w:rFonts w:asciiTheme="minorHAnsi" w:hAnsiTheme="minorHAnsi" w:cstheme="minorHAnsi"/>
          <w:color w:val="000000"/>
          <w:sz w:val="22"/>
          <w:szCs w:val="22"/>
          <w:lang w:val="fr-FR"/>
        </w:rPr>
      </w:pPr>
      <w:r w:rsidRPr="00590CF8">
        <w:rPr>
          <w:rFonts w:asciiTheme="minorHAnsi" w:hAnsiTheme="minorHAnsi" w:cstheme="minorHAnsi"/>
          <w:color w:val="000000"/>
          <w:sz w:val="22"/>
          <w:szCs w:val="22"/>
          <w:lang w:val="fr-FR"/>
        </w:rPr>
        <w:t>Dresser des recommandations pertinentes afin de promouvoir l’entrepreneuriat des jeunes et des femmes ;</w:t>
      </w:r>
    </w:p>
    <w:p w14:paraId="41649961" w14:textId="77777777" w:rsidR="000F28A0" w:rsidRPr="00590CF8" w:rsidRDefault="000F28A0" w:rsidP="000F28A0">
      <w:pPr>
        <w:pStyle w:val="ListParagraph"/>
        <w:numPr>
          <w:ilvl w:val="0"/>
          <w:numId w:val="4"/>
        </w:numPr>
        <w:contextualSpacing/>
        <w:jc w:val="both"/>
        <w:rPr>
          <w:rFonts w:asciiTheme="minorHAnsi" w:hAnsiTheme="minorHAnsi" w:cstheme="minorHAnsi"/>
          <w:color w:val="000000"/>
          <w:sz w:val="22"/>
          <w:szCs w:val="22"/>
          <w:lang w:val="fr-FR"/>
        </w:rPr>
      </w:pPr>
      <w:r w:rsidRPr="00590CF8">
        <w:rPr>
          <w:rFonts w:asciiTheme="minorHAnsi" w:hAnsiTheme="minorHAnsi" w:cstheme="minorHAnsi"/>
          <w:color w:val="000000"/>
          <w:sz w:val="22"/>
          <w:szCs w:val="22"/>
          <w:lang w:val="fr-FR"/>
        </w:rPr>
        <w:t>Elaborer les outils de plaidoyer et de communication sur le rôle des femmes et jeunes filles.</w:t>
      </w:r>
    </w:p>
    <w:p w14:paraId="4B5CE904" w14:textId="77777777" w:rsidR="000F28A0" w:rsidRPr="00947DBF" w:rsidRDefault="000F28A0" w:rsidP="000F28A0">
      <w:pPr>
        <w:spacing w:after="0" w:line="240" w:lineRule="auto"/>
        <w:jc w:val="both"/>
        <w:rPr>
          <w:rFonts w:eastAsia="Times New Roman" w:cstheme="minorHAnsi"/>
          <w:b/>
          <w:color w:val="000000"/>
          <w:spacing w:val="-3"/>
          <w:lang w:eastAsia="en-GB"/>
        </w:rPr>
      </w:pPr>
    </w:p>
    <w:p w14:paraId="466422EF" w14:textId="77777777" w:rsidR="000F28A0" w:rsidRPr="00947DBF" w:rsidRDefault="000F28A0" w:rsidP="000F28A0">
      <w:pPr>
        <w:spacing w:after="0" w:line="240" w:lineRule="auto"/>
        <w:jc w:val="both"/>
        <w:rPr>
          <w:rFonts w:eastAsia="Times New Roman" w:cstheme="minorHAnsi"/>
          <w:b/>
          <w:color w:val="000000"/>
          <w:spacing w:val="-3"/>
          <w:lang w:eastAsia="en-GB"/>
        </w:rPr>
      </w:pPr>
      <w:r w:rsidRPr="00947DBF">
        <w:rPr>
          <w:rFonts w:eastAsia="Times New Roman" w:cstheme="minorHAnsi"/>
          <w:b/>
          <w:color w:val="000000"/>
          <w:spacing w:val="-3"/>
          <w:lang w:eastAsia="en-GB"/>
        </w:rPr>
        <w:t xml:space="preserve">Les résultats attendus  de cet appel à proposition : </w:t>
      </w:r>
    </w:p>
    <w:p w14:paraId="0A9CF48F" w14:textId="77777777" w:rsidR="000F28A0" w:rsidRPr="00590CF8" w:rsidRDefault="000F28A0" w:rsidP="000F28A0">
      <w:pPr>
        <w:pStyle w:val="ListParagraph"/>
        <w:numPr>
          <w:ilvl w:val="0"/>
          <w:numId w:val="3"/>
        </w:numPr>
        <w:tabs>
          <w:tab w:val="left" w:pos="709"/>
        </w:tabs>
        <w:contextualSpacing/>
        <w:jc w:val="both"/>
        <w:rPr>
          <w:rFonts w:asciiTheme="minorHAnsi" w:hAnsiTheme="minorHAnsi" w:cstheme="minorHAnsi"/>
          <w:b/>
          <w:bCs/>
          <w:color w:val="000000"/>
          <w:spacing w:val="-3"/>
          <w:sz w:val="22"/>
          <w:szCs w:val="22"/>
          <w:lang w:val="fr-FR" w:eastAsia="en-GB"/>
        </w:rPr>
      </w:pPr>
      <w:r w:rsidRPr="00590CF8">
        <w:rPr>
          <w:rFonts w:asciiTheme="minorHAnsi" w:hAnsiTheme="minorHAnsi" w:cstheme="minorHAnsi"/>
          <w:color w:val="000000"/>
          <w:sz w:val="22"/>
          <w:szCs w:val="22"/>
          <w:lang w:val="fr-FR"/>
        </w:rPr>
        <w:t>Une démarche méthodologique détaillée de la conduite de la mission et des outils de l’étude.</w:t>
      </w:r>
    </w:p>
    <w:p w14:paraId="425EBB3C" w14:textId="77777777" w:rsidR="000F28A0" w:rsidRPr="00590CF8" w:rsidRDefault="000F28A0" w:rsidP="000F28A0">
      <w:pPr>
        <w:pStyle w:val="ListParagraph"/>
        <w:numPr>
          <w:ilvl w:val="0"/>
          <w:numId w:val="3"/>
        </w:numPr>
        <w:contextualSpacing/>
        <w:jc w:val="both"/>
        <w:rPr>
          <w:rFonts w:asciiTheme="minorHAnsi" w:hAnsiTheme="minorHAnsi" w:cstheme="minorHAnsi"/>
          <w:b/>
          <w:bCs/>
          <w:color w:val="000000"/>
          <w:spacing w:val="-3"/>
          <w:sz w:val="22"/>
          <w:szCs w:val="22"/>
          <w:lang w:val="fr-FR" w:eastAsia="en-GB"/>
        </w:rPr>
      </w:pPr>
      <w:r w:rsidRPr="00590CF8">
        <w:rPr>
          <w:rFonts w:asciiTheme="minorHAnsi" w:hAnsiTheme="minorHAnsi" w:cstheme="minorHAnsi"/>
          <w:color w:val="000000"/>
          <w:sz w:val="22"/>
          <w:szCs w:val="22"/>
          <w:lang w:val="fr-FR"/>
        </w:rPr>
        <w:t xml:space="preserve">Un état des lieux ou diagnostic basé sur les dernières recherches et développements (depuis la Covid 19), au niveau international et national en lien avec l’étude. </w:t>
      </w:r>
    </w:p>
    <w:p w14:paraId="4741C9DC" w14:textId="77777777" w:rsidR="000F28A0" w:rsidRPr="00590CF8" w:rsidRDefault="000F28A0" w:rsidP="000F28A0">
      <w:pPr>
        <w:pStyle w:val="ListParagraph"/>
        <w:numPr>
          <w:ilvl w:val="0"/>
          <w:numId w:val="3"/>
        </w:numPr>
        <w:contextualSpacing/>
        <w:jc w:val="both"/>
        <w:rPr>
          <w:rFonts w:asciiTheme="minorHAnsi" w:hAnsiTheme="minorHAnsi" w:cstheme="minorHAnsi"/>
          <w:b/>
          <w:bCs/>
          <w:color w:val="000000"/>
          <w:spacing w:val="-3"/>
          <w:sz w:val="22"/>
          <w:szCs w:val="22"/>
          <w:lang w:val="fr-FR" w:eastAsia="en-GB"/>
        </w:rPr>
      </w:pPr>
      <w:r w:rsidRPr="00590CF8">
        <w:rPr>
          <w:rFonts w:asciiTheme="minorHAnsi" w:hAnsiTheme="minorHAnsi" w:cstheme="minorHAnsi"/>
          <w:color w:val="000000"/>
          <w:sz w:val="22"/>
          <w:szCs w:val="22"/>
          <w:lang w:val="fr-FR"/>
        </w:rPr>
        <w:t>Une étude diagnostic de situation des vulnérabilités et opportunités socio-économiques dans le Sud de la Tunisie.</w:t>
      </w:r>
    </w:p>
    <w:p w14:paraId="41E9C753" w14:textId="77777777" w:rsidR="000F28A0" w:rsidRPr="00590CF8" w:rsidRDefault="000F28A0" w:rsidP="000F28A0">
      <w:pPr>
        <w:pStyle w:val="ListParagraph"/>
        <w:numPr>
          <w:ilvl w:val="0"/>
          <w:numId w:val="3"/>
        </w:numPr>
        <w:contextualSpacing/>
        <w:jc w:val="both"/>
        <w:rPr>
          <w:rStyle w:val="jlqj4b"/>
          <w:rFonts w:asciiTheme="minorHAnsi" w:hAnsiTheme="minorHAnsi" w:cstheme="minorHAnsi"/>
          <w:b/>
          <w:bCs/>
          <w:color w:val="000000"/>
          <w:spacing w:val="-3"/>
          <w:sz w:val="22"/>
          <w:szCs w:val="22"/>
          <w:lang w:val="fr-FR" w:eastAsia="en-GB"/>
        </w:rPr>
      </w:pPr>
      <w:r w:rsidRPr="00590CF8">
        <w:rPr>
          <w:rFonts w:asciiTheme="minorHAnsi" w:hAnsiTheme="minorHAnsi" w:cstheme="minorHAnsi"/>
          <w:color w:val="000000"/>
          <w:sz w:val="22"/>
          <w:szCs w:val="22"/>
          <w:lang w:val="fr-FR"/>
        </w:rPr>
        <w:t xml:space="preserve">Les rapports des ateliers de co-construction de l’étude avec </w:t>
      </w:r>
      <w:r w:rsidRPr="00590CF8">
        <w:rPr>
          <w:rStyle w:val="jlqj4b"/>
          <w:rFonts w:asciiTheme="minorHAnsi" w:hAnsiTheme="minorHAnsi" w:cstheme="minorHAnsi"/>
          <w:sz w:val="22"/>
          <w:szCs w:val="22"/>
          <w:lang w:val="fr-FR"/>
        </w:rPr>
        <w:t>210 femmes et jeunes filles (30 par municipalité ; 70% de jeunes femmes ; 30% de femmes âgées). Au moins 420 membres masculins de la famille sur les 210 femmes engagées dans l'étude participative sont impliqués dans l’étude.</w:t>
      </w:r>
    </w:p>
    <w:p w14:paraId="4090A327" w14:textId="77777777" w:rsidR="000F28A0" w:rsidRPr="00590CF8" w:rsidRDefault="000F28A0" w:rsidP="000F28A0">
      <w:pPr>
        <w:pStyle w:val="ListParagraph"/>
        <w:numPr>
          <w:ilvl w:val="0"/>
          <w:numId w:val="3"/>
        </w:numPr>
        <w:contextualSpacing/>
        <w:jc w:val="both"/>
        <w:rPr>
          <w:rFonts w:asciiTheme="minorHAnsi" w:hAnsiTheme="minorHAnsi" w:cstheme="minorHAnsi"/>
          <w:b/>
          <w:bCs/>
          <w:color w:val="000000"/>
          <w:spacing w:val="-3"/>
          <w:sz w:val="22"/>
          <w:szCs w:val="22"/>
          <w:lang w:val="fr-FR" w:eastAsia="en-GB"/>
        </w:rPr>
      </w:pPr>
      <w:r w:rsidRPr="00590CF8">
        <w:rPr>
          <w:rFonts w:asciiTheme="minorHAnsi" w:hAnsiTheme="minorHAnsi" w:cstheme="minorHAnsi"/>
          <w:color w:val="000000"/>
          <w:sz w:val="22"/>
          <w:szCs w:val="22"/>
          <w:lang w:val="fr-FR"/>
        </w:rPr>
        <w:lastRenderedPageBreak/>
        <w:t xml:space="preserve">L’identification d’au moins 50 femmes et jeunes filles leaders politiques, sociales ou entrepreneures avec au moins 10 récits de vie recueillis et retranscrits couvrant les principaux profils. </w:t>
      </w:r>
    </w:p>
    <w:p w14:paraId="07CFED82" w14:textId="77777777" w:rsidR="000F28A0" w:rsidRPr="00590CF8" w:rsidRDefault="000F28A0" w:rsidP="000F28A0">
      <w:pPr>
        <w:pStyle w:val="ListParagraph"/>
        <w:numPr>
          <w:ilvl w:val="0"/>
          <w:numId w:val="3"/>
        </w:numPr>
        <w:contextualSpacing/>
        <w:jc w:val="both"/>
        <w:rPr>
          <w:rFonts w:asciiTheme="minorHAnsi" w:hAnsiTheme="minorHAnsi" w:cstheme="minorHAnsi"/>
          <w:b/>
          <w:bCs/>
          <w:color w:val="000000"/>
          <w:spacing w:val="-3"/>
          <w:sz w:val="22"/>
          <w:szCs w:val="22"/>
          <w:lang w:val="fr-FR" w:eastAsia="en-GB"/>
        </w:rPr>
      </w:pPr>
      <w:r w:rsidRPr="00590CF8">
        <w:rPr>
          <w:rFonts w:asciiTheme="minorHAnsi" w:hAnsiTheme="minorHAnsi" w:cstheme="minorHAnsi"/>
          <w:color w:val="000000"/>
          <w:sz w:val="22"/>
          <w:szCs w:val="22"/>
          <w:lang w:val="fr-FR"/>
        </w:rPr>
        <w:t xml:space="preserve">Une cartographie des besoins des femmes et jeunes filles cibles. </w:t>
      </w:r>
    </w:p>
    <w:p w14:paraId="4ED73BA3" w14:textId="77777777" w:rsidR="000F28A0" w:rsidRPr="00590CF8" w:rsidRDefault="000F28A0" w:rsidP="000F28A0">
      <w:pPr>
        <w:pStyle w:val="ListParagraph"/>
        <w:numPr>
          <w:ilvl w:val="0"/>
          <w:numId w:val="3"/>
        </w:numPr>
        <w:contextualSpacing/>
        <w:jc w:val="both"/>
        <w:rPr>
          <w:rFonts w:asciiTheme="minorHAnsi" w:hAnsiTheme="minorHAnsi" w:cstheme="minorHAnsi"/>
          <w:b/>
          <w:bCs/>
          <w:color w:val="000000"/>
          <w:spacing w:val="-3"/>
          <w:sz w:val="22"/>
          <w:szCs w:val="22"/>
          <w:lang w:val="fr-FR" w:eastAsia="en-GB"/>
        </w:rPr>
      </w:pPr>
      <w:r w:rsidRPr="00590CF8">
        <w:rPr>
          <w:rFonts w:asciiTheme="minorHAnsi" w:hAnsiTheme="minorHAnsi" w:cstheme="minorHAnsi"/>
          <w:color w:val="000000"/>
          <w:sz w:val="22"/>
          <w:szCs w:val="22"/>
          <w:lang w:val="fr-FR"/>
        </w:rPr>
        <w:t>Une cartographie des projets innovants existants et des sources de financements ou partenaires à mobiliser dans la zone étudiée.</w:t>
      </w:r>
    </w:p>
    <w:p w14:paraId="3217CAE3" w14:textId="77777777" w:rsidR="000F28A0" w:rsidRPr="00590CF8" w:rsidRDefault="000F28A0" w:rsidP="000F28A0">
      <w:pPr>
        <w:pStyle w:val="ListParagraph"/>
        <w:numPr>
          <w:ilvl w:val="0"/>
          <w:numId w:val="3"/>
        </w:numPr>
        <w:contextualSpacing/>
        <w:jc w:val="both"/>
        <w:rPr>
          <w:rFonts w:asciiTheme="minorHAnsi" w:hAnsiTheme="minorHAnsi" w:cstheme="minorHAnsi"/>
          <w:b/>
          <w:bCs/>
          <w:color w:val="000000"/>
          <w:spacing w:val="-3"/>
          <w:sz w:val="22"/>
          <w:szCs w:val="22"/>
          <w:lang w:val="fr-FR" w:eastAsia="en-GB"/>
        </w:rPr>
      </w:pPr>
      <w:r w:rsidRPr="00590CF8">
        <w:rPr>
          <w:rFonts w:asciiTheme="minorHAnsi" w:hAnsiTheme="minorHAnsi" w:cstheme="minorHAnsi"/>
          <w:color w:val="000000"/>
          <w:sz w:val="22"/>
          <w:szCs w:val="22"/>
          <w:lang w:val="fr-FR"/>
        </w:rPr>
        <w:t xml:space="preserve">Une analyse approfondie du rôle de ces femmes et jeunes filles dans la cohésion sociale, la consolidation de la paix et le développement durable. </w:t>
      </w:r>
    </w:p>
    <w:p w14:paraId="55CF24CE" w14:textId="77777777" w:rsidR="000F28A0" w:rsidRPr="00590CF8" w:rsidRDefault="000F28A0" w:rsidP="000F28A0">
      <w:pPr>
        <w:pStyle w:val="ListParagraph"/>
        <w:numPr>
          <w:ilvl w:val="0"/>
          <w:numId w:val="3"/>
        </w:numPr>
        <w:contextualSpacing/>
        <w:jc w:val="both"/>
        <w:rPr>
          <w:rFonts w:asciiTheme="minorHAnsi" w:hAnsiTheme="minorHAnsi" w:cstheme="minorHAnsi"/>
          <w:b/>
          <w:bCs/>
          <w:color w:val="000000"/>
          <w:spacing w:val="-3"/>
          <w:sz w:val="22"/>
          <w:szCs w:val="22"/>
          <w:lang w:val="fr-FR" w:eastAsia="en-GB"/>
        </w:rPr>
      </w:pPr>
      <w:r w:rsidRPr="00590CF8">
        <w:rPr>
          <w:rFonts w:asciiTheme="minorHAnsi" w:hAnsiTheme="minorHAnsi" w:cstheme="minorHAnsi"/>
          <w:color w:val="000000"/>
          <w:sz w:val="22"/>
          <w:szCs w:val="22"/>
          <w:lang w:val="fr-FR"/>
        </w:rPr>
        <w:t xml:space="preserve">Un plan d’action de renforcement des capacités de la société civile, des autorités locales, du secteur privé et des hommes sur l’importance du leadership politique et social des femmes et des pratiques entrepreneuriales des jeunes et des femmes dans sept communes du Sud de la Tunisie favorisant la cohésion sociale, le développement économique et la consolidation de la paix </w:t>
      </w:r>
    </w:p>
    <w:p w14:paraId="06C3D179" w14:textId="77777777" w:rsidR="000F28A0" w:rsidRPr="00590CF8" w:rsidRDefault="000F28A0" w:rsidP="000F28A0">
      <w:pPr>
        <w:pStyle w:val="ListParagraph"/>
        <w:numPr>
          <w:ilvl w:val="0"/>
          <w:numId w:val="3"/>
        </w:numPr>
        <w:contextualSpacing/>
        <w:jc w:val="both"/>
        <w:rPr>
          <w:rFonts w:asciiTheme="minorHAnsi" w:hAnsiTheme="minorHAnsi" w:cstheme="minorHAnsi"/>
          <w:b/>
          <w:bCs/>
          <w:color w:val="000000"/>
          <w:spacing w:val="-3"/>
          <w:sz w:val="22"/>
          <w:szCs w:val="22"/>
          <w:lang w:val="fr-FR" w:eastAsia="en-GB"/>
        </w:rPr>
      </w:pPr>
      <w:r w:rsidRPr="00590CF8">
        <w:rPr>
          <w:rFonts w:asciiTheme="minorHAnsi" w:hAnsiTheme="minorHAnsi" w:cstheme="minorHAnsi"/>
          <w:color w:val="000000"/>
          <w:sz w:val="22"/>
          <w:szCs w:val="22"/>
          <w:lang w:val="fr-FR"/>
        </w:rPr>
        <w:t xml:space="preserve">Des outils de renforcement des capacités des parties prenantes spécifiées (point 9) dans les sept communes du Sud de la Tunisie favorisant la cohésion sociale, le développement économique et la consolidation de la paix </w:t>
      </w:r>
    </w:p>
    <w:p w14:paraId="2147D23F" w14:textId="77777777" w:rsidR="000F28A0" w:rsidRPr="00590CF8" w:rsidRDefault="000F28A0" w:rsidP="000F28A0">
      <w:pPr>
        <w:pStyle w:val="ListParagraph"/>
        <w:numPr>
          <w:ilvl w:val="0"/>
          <w:numId w:val="3"/>
        </w:numPr>
        <w:contextualSpacing/>
        <w:jc w:val="both"/>
        <w:rPr>
          <w:rFonts w:asciiTheme="minorHAnsi" w:hAnsiTheme="minorHAnsi" w:cstheme="minorHAnsi"/>
          <w:b/>
          <w:bCs/>
          <w:color w:val="000000"/>
          <w:spacing w:val="-3"/>
          <w:sz w:val="22"/>
          <w:szCs w:val="22"/>
          <w:lang w:val="fr-FR" w:eastAsia="en-GB"/>
        </w:rPr>
      </w:pPr>
      <w:r w:rsidRPr="00590CF8">
        <w:rPr>
          <w:rFonts w:asciiTheme="minorHAnsi" w:hAnsiTheme="minorHAnsi" w:cstheme="minorHAnsi"/>
          <w:color w:val="000000"/>
          <w:sz w:val="22"/>
          <w:szCs w:val="22"/>
          <w:lang w:val="fr-FR"/>
        </w:rPr>
        <w:t>Des propositions opérationnelles pour le renforcement de la promotion du leadership féminin, de l’égalité, du dialogue intergénérationnel et de l’entrepreneuriat des jeunes et des femmes du sud de la Tunisie sont formulées.</w:t>
      </w:r>
    </w:p>
    <w:p w14:paraId="5B5972B5" w14:textId="77777777" w:rsidR="000F28A0" w:rsidRPr="00590CF8" w:rsidRDefault="000F28A0" w:rsidP="000F28A0">
      <w:pPr>
        <w:pStyle w:val="ListParagraph"/>
        <w:numPr>
          <w:ilvl w:val="0"/>
          <w:numId w:val="3"/>
        </w:numPr>
        <w:contextualSpacing/>
        <w:jc w:val="both"/>
        <w:rPr>
          <w:rFonts w:asciiTheme="minorHAnsi" w:hAnsiTheme="minorHAnsi" w:cstheme="minorHAnsi"/>
          <w:bCs/>
          <w:color w:val="000000"/>
          <w:spacing w:val="-3"/>
          <w:sz w:val="22"/>
          <w:szCs w:val="22"/>
          <w:lang w:val="fr-FR" w:eastAsia="en-GB"/>
        </w:rPr>
      </w:pPr>
      <w:r w:rsidRPr="00590CF8">
        <w:rPr>
          <w:rFonts w:asciiTheme="minorHAnsi" w:hAnsiTheme="minorHAnsi" w:cstheme="minorHAnsi"/>
          <w:bCs/>
          <w:color w:val="000000"/>
          <w:spacing w:val="-3"/>
          <w:sz w:val="22"/>
          <w:szCs w:val="22"/>
          <w:lang w:val="fr-FR" w:eastAsia="en-GB"/>
        </w:rPr>
        <w:t xml:space="preserve">Une analyse des résultats de l’étude avec les </w:t>
      </w:r>
      <w:proofErr w:type="spellStart"/>
      <w:r w:rsidRPr="00590CF8">
        <w:rPr>
          <w:rFonts w:asciiTheme="minorHAnsi" w:hAnsiTheme="minorHAnsi" w:cstheme="minorHAnsi"/>
          <w:bCs/>
          <w:color w:val="000000"/>
          <w:spacing w:val="-3"/>
          <w:sz w:val="22"/>
          <w:szCs w:val="22"/>
          <w:lang w:val="fr-FR" w:eastAsia="en-GB"/>
        </w:rPr>
        <w:t>ODDs</w:t>
      </w:r>
      <w:proofErr w:type="spellEnd"/>
      <w:r w:rsidRPr="00590CF8">
        <w:rPr>
          <w:rFonts w:asciiTheme="minorHAnsi" w:hAnsiTheme="minorHAnsi" w:cstheme="minorHAnsi"/>
          <w:bCs/>
          <w:color w:val="000000"/>
          <w:spacing w:val="-3"/>
          <w:sz w:val="22"/>
          <w:szCs w:val="22"/>
          <w:lang w:val="fr-FR" w:eastAsia="en-GB"/>
        </w:rPr>
        <w:t xml:space="preserve"> 8, 5 et 16 et propositions de pistes d’amélioration pour atteindre les cibles d’ici 2030. </w:t>
      </w:r>
    </w:p>
    <w:p w14:paraId="11926FF6" w14:textId="77777777" w:rsidR="000F28A0" w:rsidRPr="00590CF8" w:rsidRDefault="000F28A0" w:rsidP="000F28A0">
      <w:pPr>
        <w:pStyle w:val="ListParagraph"/>
        <w:numPr>
          <w:ilvl w:val="0"/>
          <w:numId w:val="3"/>
        </w:numPr>
        <w:contextualSpacing/>
        <w:jc w:val="both"/>
        <w:rPr>
          <w:rFonts w:asciiTheme="minorHAnsi" w:hAnsiTheme="minorHAnsi" w:cstheme="minorHAnsi"/>
          <w:bCs/>
          <w:color w:val="000000"/>
          <w:spacing w:val="-3"/>
          <w:sz w:val="22"/>
          <w:szCs w:val="22"/>
          <w:lang w:val="fr-FR" w:eastAsia="en-GB"/>
        </w:rPr>
      </w:pPr>
      <w:r w:rsidRPr="00590CF8">
        <w:rPr>
          <w:rFonts w:asciiTheme="minorHAnsi" w:hAnsiTheme="minorHAnsi" w:cstheme="minorHAnsi"/>
          <w:bCs/>
          <w:color w:val="000000"/>
          <w:spacing w:val="-3"/>
          <w:sz w:val="22"/>
          <w:szCs w:val="22"/>
          <w:lang w:val="fr-FR" w:eastAsia="en-GB"/>
        </w:rPr>
        <w:t>Des données quantitatives ventilées par sexe, âge, niveau d’éducation, situation matrimoniale, situation professionnelle et commune de résidence.</w:t>
      </w:r>
    </w:p>
    <w:p w14:paraId="39DDDA8D" w14:textId="77777777" w:rsidR="000F28A0" w:rsidRPr="00590CF8" w:rsidRDefault="000F28A0" w:rsidP="000F28A0">
      <w:pPr>
        <w:pStyle w:val="ListParagraph"/>
        <w:numPr>
          <w:ilvl w:val="0"/>
          <w:numId w:val="3"/>
        </w:numPr>
        <w:contextualSpacing/>
        <w:jc w:val="both"/>
        <w:rPr>
          <w:rFonts w:asciiTheme="minorHAnsi" w:hAnsiTheme="minorHAnsi" w:cstheme="minorHAnsi"/>
          <w:b/>
          <w:bCs/>
          <w:color w:val="000000"/>
          <w:spacing w:val="-3"/>
          <w:sz w:val="22"/>
          <w:szCs w:val="22"/>
          <w:lang w:val="fr-FR" w:eastAsia="en-GB"/>
        </w:rPr>
      </w:pPr>
      <w:r w:rsidRPr="00590CF8">
        <w:rPr>
          <w:rFonts w:asciiTheme="minorHAnsi" w:hAnsiTheme="minorHAnsi" w:cstheme="minorHAnsi"/>
          <w:color w:val="000000"/>
          <w:sz w:val="22"/>
          <w:szCs w:val="22"/>
          <w:lang w:val="fr-FR"/>
        </w:rPr>
        <w:t>Un rapport final, avec aussi les livrables suivants : a) résumé exécutif et b) présentation PPT des principaux résultats et recommandations.</w:t>
      </w:r>
    </w:p>
    <w:p w14:paraId="0F16372E" w14:textId="77777777" w:rsidR="000F28A0" w:rsidRPr="00590CF8" w:rsidRDefault="000F28A0" w:rsidP="000F28A0">
      <w:pPr>
        <w:pStyle w:val="ListParagraph"/>
        <w:jc w:val="both"/>
        <w:rPr>
          <w:rFonts w:asciiTheme="minorHAnsi" w:hAnsiTheme="minorHAnsi" w:cstheme="minorHAnsi"/>
          <w:b/>
          <w:bCs/>
          <w:color w:val="000000"/>
          <w:spacing w:val="-3"/>
          <w:sz w:val="22"/>
          <w:szCs w:val="22"/>
          <w:lang w:val="fr-FR" w:eastAsia="en-GB"/>
        </w:rPr>
      </w:pPr>
    </w:p>
    <w:p w14:paraId="624F9F06" w14:textId="77777777" w:rsidR="000F28A0" w:rsidRDefault="000F28A0" w:rsidP="000F28A0">
      <w:pPr>
        <w:spacing w:after="0" w:line="240" w:lineRule="auto"/>
        <w:jc w:val="both"/>
        <w:rPr>
          <w:rFonts w:eastAsia="Times New Roman" w:cstheme="minorHAnsi"/>
          <w:b/>
          <w:bCs/>
          <w:color w:val="000000"/>
          <w:spacing w:val="-3"/>
          <w:lang w:eastAsia="en-GB"/>
        </w:rPr>
      </w:pPr>
      <w:r w:rsidRPr="00947DBF">
        <w:rPr>
          <w:rFonts w:eastAsia="Times New Roman" w:cstheme="minorHAnsi"/>
          <w:b/>
          <w:bCs/>
          <w:color w:val="000000"/>
          <w:spacing w:val="-3"/>
          <w:lang w:eastAsia="en-GB"/>
        </w:rPr>
        <w:t xml:space="preserve">Méthode </w:t>
      </w:r>
    </w:p>
    <w:p w14:paraId="239495AE" w14:textId="77777777" w:rsidR="000F28A0" w:rsidRPr="00947DBF" w:rsidRDefault="000F28A0" w:rsidP="000F28A0">
      <w:pPr>
        <w:spacing w:after="0" w:line="240" w:lineRule="auto"/>
        <w:jc w:val="both"/>
        <w:rPr>
          <w:rFonts w:eastAsia="Times New Roman" w:cstheme="minorHAnsi"/>
          <w:b/>
          <w:bCs/>
          <w:color w:val="000000"/>
          <w:spacing w:val="-3"/>
          <w:lang w:eastAsia="en-GB"/>
        </w:rPr>
      </w:pPr>
    </w:p>
    <w:p w14:paraId="163EE84A" w14:textId="77777777" w:rsidR="000F28A0" w:rsidRPr="00590CF8" w:rsidRDefault="000F28A0" w:rsidP="000F28A0">
      <w:pPr>
        <w:pStyle w:val="ListParagraph"/>
        <w:numPr>
          <w:ilvl w:val="0"/>
          <w:numId w:val="2"/>
        </w:numPr>
        <w:contextualSpacing/>
        <w:jc w:val="both"/>
        <w:rPr>
          <w:rFonts w:asciiTheme="minorHAnsi" w:hAnsiTheme="minorHAnsi" w:cstheme="minorHAnsi"/>
          <w:b/>
          <w:bCs/>
          <w:color w:val="000000"/>
          <w:spacing w:val="-3"/>
          <w:sz w:val="22"/>
          <w:szCs w:val="22"/>
          <w:lang w:val="fr-FR" w:eastAsia="en-GB"/>
        </w:rPr>
      </w:pPr>
      <w:r w:rsidRPr="00590CF8">
        <w:rPr>
          <w:rFonts w:asciiTheme="minorHAnsi" w:hAnsiTheme="minorHAnsi" w:cstheme="minorHAnsi"/>
          <w:b/>
          <w:bCs/>
          <w:color w:val="000000"/>
          <w:spacing w:val="-3"/>
          <w:sz w:val="22"/>
          <w:szCs w:val="22"/>
          <w:lang w:val="fr-FR" w:eastAsia="en-GB"/>
        </w:rPr>
        <w:t xml:space="preserve">Démarrage (phase préparatoire) : </w:t>
      </w:r>
      <w:r w:rsidRPr="00590CF8">
        <w:rPr>
          <w:rFonts w:asciiTheme="minorHAnsi" w:hAnsiTheme="minorHAnsi" w:cstheme="minorHAnsi"/>
          <w:bCs/>
          <w:color w:val="000000"/>
          <w:spacing w:val="-3"/>
          <w:sz w:val="22"/>
          <w:szCs w:val="22"/>
          <w:lang w:val="fr-FR" w:eastAsia="en-GB"/>
        </w:rPr>
        <w:t xml:space="preserve">préparer une note de démarrage avec la méthodologie détaillée de la mission, accompagnée d’un planning et des outils de l’étude de recherche. </w:t>
      </w:r>
    </w:p>
    <w:p w14:paraId="06621B94" w14:textId="77777777" w:rsidR="000F28A0" w:rsidRPr="00590CF8" w:rsidRDefault="000F28A0" w:rsidP="000F28A0">
      <w:pPr>
        <w:pStyle w:val="ListParagraph"/>
        <w:numPr>
          <w:ilvl w:val="0"/>
          <w:numId w:val="2"/>
        </w:numPr>
        <w:contextualSpacing/>
        <w:jc w:val="both"/>
        <w:rPr>
          <w:rFonts w:asciiTheme="minorHAnsi" w:hAnsiTheme="minorHAnsi" w:cstheme="minorHAnsi"/>
          <w:b/>
          <w:bCs/>
          <w:color w:val="000000"/>
          <w:spacing w:val="-3"/>
          <w:sz w:val="22"/>
          <w:szCs w:val="22"/>
          <w:lang w:val="fr-FR" w:eastAsia="en-GB"/>
        </w:rPr>
      </w:pPr>
      <w:r w:rsidRPr="00590CF8">
        <w:rPr>
          <w:rFonts w:asciiTheme="minorHAnsi" w:hAnsiTheme="minorHAnsi" w:cstheme="minorHAnsi"/>
          <w:b/>
          <w:bCs/>
          <w:color w:val="000000"/>
          <w:spacing w:val="-3"/>
          <w:sz w:val="22"/>
          <w:szCs w:val="22"/>
          <w:lang w:val="fr-FR" w:eastAsia="en-GB"/>
        </w:rPr>
        <w:t>Collecte de données :</w:t>
      </w:r>
      <w:r w:rsidRPr="00590CF8">
        <w:rPr>
          <w:rFonts w:asciiTheme="minorHAnsi" w:hAnsiTheme="minorHAnsi" w:cstheme="minorHAnsi"/>
          <w:bCs/>
          <w:color w:val="000000"/>
          <w:spacing w:val="-3"/>
          <w:sz w:val="22"/>
          <w:szCs w:val="22"/>
          <w:lang w:val="fr-FR" w:eastAsia="en-GB"/>
        </w:rPr>
        <w:t xml:space="preserve"> recueillir, étudier, analyser les données, recherches et documents déjà existants, et étudier l’état actuel de la situation. Documenter les sources d’information avec des données qualitatives et quantitatives. Entretiens avec les autorités locales, entretiens et exercices et ateliers de travail sur l’étude avec des focus groups de 210 femmes et jeunes filles </w:t>
      </w:r>
      <w:r w:rsidRPr="00590CF8">
        <w:rPr>
          <w:rStyle w:val="jlqj4b"/>
          <w:rFonts w:asciiTheme="minorHAnsi" w:hAnsiTheme="minorHAnsi" w:cstheme="minorHAnsi"/>
          <w:sz w:val="22"/>
          <w:szCs w:val="22"/>
          <w:lang w:val="fr-FR"/>
        </w:rPr>
        <w:t>(30 par municipalité ; 70% de jeunes femmes ; 30% de femmes âgées)</w:t>
      </w:r>
      <w:r w:rsidRPr="00590CF8">
        <w:rPr>
          <w:rFonts w:asciiTheme="minorHAnsi" w:hAnsiTheme="minorHAnsi" w:cstheme="minorHAnsi"/>
          <w:bCs/>
          <w:color w:val="000000"/>
          <w:spacing w:val="-3"/>
          <w:sz w:val="22"/>
          <w:szCs w:val="22"/>
          <w:lang w:val="fr-FR" w:eastAsia="en-GB"/>
        </w:rPr>
        <w:t xml:space="preserve"> dans sept communes du Sud. Ateliers de sensibilisation sur le rôle de la femme et de la jeune fille dans la cohésion sociale, la prévention de conflits, la consolidation de la paix et le développement économique de la zone avec au </w:t>
      </w:r>
      <w:r w:rsidRPr="00590CF8">
        <w:rPr>
          <w:rStyle w:val="jlqj4b"/>
          <w:rFonts w:asciiTheme="minorHAnsi" w:hAnsiTheme="minorHAnsi" w:cstheme="minorHAnsi"/>
          <w:sz w:val="22"/>
          <w:szCs w:val="22"/>
          <w:lang w:val="fr-FR"/>
        </w:rPr>
        <w:t xml:space="preserve">moins 420 membres masculins de la famille sur les 210 femmes engagées dans l'étude participative. </w:t>
      </w:r>
      <w:r w:rsidRPr="00590CF8">
        <w:rPr>
          <w:rFonts w:asciiTheme="minorHAnsi" w:hAnsiTheme="minorHAnsi" w:cstheme="minorHAnsi"/>
          <w:color w:val="000000"/>
          <w:sz w:val="22"/>
          <w:szCs w:val="22"/>
          <w:lang w:val="fr-FR"/>
        </w:rPr>
        <w:t xml:space="preserve">Entretiens avec les femmes et jeunes filles leaders politiques, sociales ou entrepreneures et collecte de données. </w:t>
      </w:r>
      <w:r w:rsidRPr="00590CF8">
        <w:rPr>
          <w:rFonts w:asciiTheme="minorHAnsi" w:hAnsiTheme="minorHAnsi" w:cstheme="minorHAnsi"/>
          <w:bCs/>
          <w:color w:val="000000"/>
          <w:spacing w:val="-3"/>
          <w:sz w:val="22"/>
          <w:szCs w:val="22"/>
          <w:lang w:val="fr-FR" w:eastAsia="en-GB"/>
        </w:rPr>
        <w:t xml:space="preserve">Ateliers de sensibilisation avec les autorités locales, les parlementaires, les organisations religieuses, les OSC, les média et le secteur privé sur l’importance du soutien au leadership des femmes et des filles pour la cohésion sociale, la consolidation de la paix et la croissance économique. </w:t>
      </w:r>
    </w:p>
    <w:p w14:paraId="7CC8B52F" w14:textId="77777777" w:rsidR="000F28A0" w:rsidRPr="00590CF8" w:rsidRDefault="000F28A0" w:rsidP="000F28A0">
      <w:pPr>
        <w:pStyle w:val="ListParagraph"/>
        <w:numPr>
          <w:ilvl w:val="0"/>
          <w:numId w:val="2"/>
        </w:numPr>
        <w:contextualSpacing/>
        <w:jc w:val="both"/>
        <w:rPr>
          <w:rFonts w:asciiTheme="minorHAnsi" w:hAnsiTheme="minorHAnsi" w:cstheme="minorHAnsi"/>
          <w:sz w:val="22"/>
          <w:szCs w:val="22"/>
          <w:lang w:val="fr-FR"/>
        </w:rPr>
      </w:pPr>
      <w:r w:rsidRPr="00590CF8">
        <w:rPr>
          <w:rStyle w:val="jlqj4b"/>
          <w:rFonts w:asciiTheme="minorHAnsi" w:hAnsiTheme="minorHAnsi" w:cstheme="minorHAnsi"/>
          <w:b/>
          <w:sz w:val="22"/>
          <w:szCs w:val="22"/>
          <w:lang w:val="fr-FR"/>
        </w:rPr>
        <w:t>Rédaction des livrables</w:t>
      </w:r>
      <w:r w:rsidRPr="00590CF8">
        <w:rPr>
          <w:rStyle w:val="jlqj4b"/>
          <w:rFonts w:asciiTheme="minorHAnsi" w:hAnsiTheme="minorHAnsi" w:cstheme="minorHAnsi"/>
          <w:sz w:val="22"/>
          <w:szCs w:val="22"/>
          <w:lang w:val="fr-FR"/>
        </w:rPr>
        <w:t xml:space="preserve"> : travail d’analyse et de rédaction du rapport provisoire. Présentation du rapport provisoire et collecte des commentaires. Finalisation du rapport final et présentation en atelier de restitution avec ONU – Femmes, les parties prenantes et les bénéficiaires directs de l’étude participative. Elaboration du rapport de mission et des annexes du rapport final. </w:t>
      </w:r>
    </w:p>
    <w:p w14:paraId="3ADBC3A9" w14:textId="77777777" w:rsidR="000F28A0" w:rsidRDefault="000F28A0" w:rsidP="000F28A0">
      <w:pPr>
        <w:tabs>
          <w:tab w:val="center" w:pos="4320"/>
          <w:tab w:val="right" w:pos="8640"/>
        </w:tabs>
        <w:spacing w:after="0" w:line="240" w:lineRule="auto"/>
        <w:jc w:val="both"/>
        <w:rPr>
          <w:rFonts w:eastAsia="Times New Roman" w:cstheme="minorHAnsi"/>
          <w:b/>
          <w:bCs/>
          <w:color w:val="000000"/>
          <w:spacing w:val="-3"/>
          <w:lang w:bidi="fr-FR"/>
        </w:rPr>
      </w:pPr>
    </w:p>
    <w:p w14:paraId="1BEE0057" w14:textId="77777777" w:rsidR="000F28A0" w:rsidRPr="00947DBF" w:rsidRDefault="000F28A0" w:rsidP="000F28A0">
      <w:pPr>
        <w:tabs>
          <w:tab w:val="center" w:pos="4320"/>
          <w:tab w:val="right" w:pos="8640"/>
        </w:tabs>
        <w:spacing w:after="0" w:line="240" w:lineRule="auto"/>
        <w:jc w:val="both"/>
        <w:rPr>
          <w:rFonts w:eastAsia="Times New Roman" w:cstheme="minorHAnsi"/>
          <w:b/>
          <w:bCs/>
          <w:color w:val="000000"/>
          <w:spacing w:val="-3"/>
          <w:lang w:bidi="fr-FR"/>
        </w:rPr>
      </w:pPr>
      <w:r w:rsidRPr="00947DBF">
        <w:rPr>
          <w:rFonts w:eastAsia="Times New Roman" w:cstheme="minorHAnsi"/>
          <w:b/>
          <w:bCs/>
          <w:color w:val="000000"/>
          <w:spacing w:val="-3"/>
          <w:lang w:bidi="fr-FR"/>
        </w:rPr>
        <w:t>Données à recueillir :</w:t>
      </w:r>
    </w:p>
    <w:p w14:paraId="148FCA32" w14:textId="77777777" w:rsidR="000F28A0" w:rsidRPr="00947DBF" w:rsidRDefault="000F28A0" w:rsidP="000F28A0">
      <w:pPr>
        <w:pStyle w:val="ListParagraph"/>
        <w:numPr>
          <w:ilvl w:val="0"/>
          <w:numId w:val="5"/>
        </w:numPr>
        <w:contextualSpacing/>
        <w:jc w:val="both"/>
        <w:rPr>
          <w:rFonts w:asciiTheme="minorHAnsi" w:hAnsiTheme="minorHAnsi" w:cstheme="minorHAnsi"/>
          <w:bCs/>
          <w:color w:val="000000"/>
          <w:spacing w:val="-3"/>
          <w:sz w:val="22"/>
          <w:szCs w:val="22"/>
          <w:lang w:eastAsia="en-GB"/>
        </w:rPr>
      </w:pPr>
      <w:r w:rsidRPr="00590CF8">
        <w:rPr>
          <w:rFonts w:asciiTheme="minorHAnsi" w:hAnsiTheme="minorHAnsi" w:cstheme="minorHAnsi"/>
          <w:bCs/>
          <w:color w:val="000000"/>
          <w:spacing w:val="-3"/>
          <w:sz w:val="22"/>
          <w:szCs w:val="22"/>
          <w:lang w:val="fr-FR" w:eastAsia="en-GB"/>
        </w:rPr>
        <w:lastRenderedPageBreak/>
        <w:t xml:space="preserve">Division du travail entre les hommes et les femmes (ODD cibles. </w:t>
      </w:r>
      <w:proofErr w:type="gramStart"/>
      <w:r w:rsidRPr="00947DBF">
        <w:rPr>
          <w:rFonts w:asciiTheme="minorHAnsi" w:hAnsiTheme="minorHAnsi" w:cstheme="minorHAnsi"/>
          <w:bCs/>
          <w:color w:val="000000"/>
          <w:spacing w:val="-3"/>
          <w:sz w:val="22"/>
          <w:szCs w:val="22"/>
          <w:lang w:eastAsia="en-GB"/>
        </w:rPr>
        <w:t>5.4 ;</w:t>
      </w:r>
      <w:proofErr w:type="gramEnd"/>
      <w:r w:rsidRPr="00947DBF">
        <w:rPr>
          <w:rFonts w:asciiTheme="minorHAnsi" w:hAnsiTheme="minorHAnsi" w:cstheme="minorHAnsi"/>
          <w:bCs/>
          <w:color w:val="000000"/>
          <w:spacing w:val="-3"/>
          <w:sz w:val="22"/>
          <w:szCs w:val="22"/>
          <w:lang w:eastAsia="en-GB"/>
        </w:rPr>
        <w:t xml:space="preserve"> 5.5 ; 8.5 ; 8.6 ; 8.8)</w:t>
      </w:r>
    </w:p>
    <w:p w14:paraId="6B4CA9AB" w14:textId="77777777" w:rsidR="000F28A0" w:rsidRPr="00590CF8" w:rsidRDefault="000F28A0" w:rsidP="000F28A0">
      <w:pPr>
        <w:pStyle w:val="ListParagraph"/>
        <w:numPr>
          <w:ilvl w:val="0"/>
          <w:numId w:val="5"/>
        </w:numPr>
        <w:contextualSpacing/>
        <w:jc w:val="both"/>
        <w:rPr>
          <w:rFonts w:asciiTheme="minorHAnsi" w:hAnsiTheme="minorHAnsi" w:cstheme="minorHAnsi"/>
          <w:bCs/>
          <w:color w:val="000000"/>
          <w:spacing w:val="-3"/>
          <w:sz w:val="22"/>
          <w:szCs w:val="22"/>
          <w:lang w:val="fr-FR" w:eastAsia="en-GB"/>
        </w:rPr>
      </w:pPr>
      <w:r w:rsidRPr="00590CF8">
        <w:rPr>
          <w:rFonts w:asciiTheme="minorHAnsi" w:hAnsiTheme="minorHAnsi" w:cstheme="minorHAnsi"/>
          <w:bCs/>
          <w:color w:val="000000"/>
          <w:spacing w:val="-3"/>
          <w:sz w:val="22"/>
          <w:szCs w:val="22"/>
          <w:lang w:val="fr-FR" w:eastAsia="en-GB"/>
        </w:rPr>
        <w:t>Accès, pouvoir et contrôle des ressources (ODD cibles : 5.A ; 1.4 ; 2.3)</w:t>
      </w:r>
    </w:p>
    <w:p w14:paraId="7715E63A" w14:textId="77777777" w:rsidR="000F28A0" w:rsidRPr="00590CF8" w:rsidRDefault="000F28A0" w:rsidP="000F28A0">
      <w:pPr>
        <w:pStyle w:val="ListParagraph"/>
        <w:numPr>
          <w:ilvl w:val="0"/>
          <w:numId w:val="5"/>
        </w:numPr>
        <w:contextualSpacing/>
        <w:jc w:val="both"/>
        <w:rPr>
          <w:rFonts w:asciiTheme="minorHAnsi" w:hAnsiTheme="minorHAnsi" w:cstheme="minorHAnsi"/>
          <w:bCs/>
          <w:color w:val="000000"/>
          <w:spacing w:val="-3"/>
          <w:sz w:val="22"/>
          <w:szCs w:val="22"/>
          <w:lang w:val="fr-FR" w:eastAsia="en-GB"/>
        </w:rPr>
      </w:pPr>
      <w:r w:rsidRPr="00590CF8">
        <w:rPr>
          <w:rFonts w:asciiTheme="minorHAnsi" w:hAnsiTheme="minorHAnsi" w:cstheme="minorHAnsi"/>
          <w:bCs/>
          <w:color w:val="000000"/>
          <w:spacing w:val="-3"/>
          <w:sz w:val="22"/>
          <w:szCs w:val="22"/>
          <w:lang w:val="fr-FR" w:eastAsia="en-GB"/>
        </w:rPr>
        <w:t>Violences basées sur le genre (ODD cibles : 5.2. ; 5.3.)</w:t>
      </w:r>
    </w:p>
    <w:p w14:paraId="1E2E287F" w14:textId="77777777" w:rsidR="000F28A0" w:rsidRPr="00947DBF" w:rsidRDefault="000F28A0" w:rsidP="000F28A0">
      <w:pPr>
        <w:pStyle w:val="ListParagraph"/>
        <w:numPr>
          <w:ilvl w:val="0"/>
          <w:numId w:val="5"/>
        </w:numPr>
        <w:contextualSpacing/>
        <w:jc w:val="both"/>
        <w:rPr>
          <w:rFonts w:asciiTheme="minorHAnsi" w:hAnsiTheme="minorHAnsi" w:cstheme="minorHAnsi"/>
          <w:bCs/>
          <w:color w:val="000000"/>
          <w:spacing w:val="-3"/>
          <w:sz w:val="22"/>
          <w:szCs w:val="22"/>
          <w:lang w:eastAsia="en-GB"/>
        </w:rPr>
      </w:pPr>
      <w:r w:rsidRPr="00590CF8">
        <w:rPr>
          <w:rFonts w:asciiTheme="minorHAnsi" w:hAnsiTheme="minorHAnsi" w:cstheme="minorHAnsi"/>
          <w:bCs/>
          <w:color w:val="000000"/>
          <w:spacing w:val="-3"/>
          <w:sz w:val="22"/>
          <w:szCs w:val="22"/>
          <w:lang w:val="fr-FR" w:eastAsia="en-GB"/>
        </w:rPr>
        <w:t xml:space="preserve">Reconnaissance des besoins différenciés/ santé des femmes (ODD cibles. </w:t>
      </w:r>
      <w:proofErr w:type="gramStart"/>
      <w:r w:rsidRPr="00947DBF">
        <w:rPr>
          <w:rFonts w:asciiTheme="minorHAnsi" w:hAnsiTheme="minorHAnsi" w:cstheme="minorHAnsi"/>
          <w:bCs/>
          <w:color w:val="000000"/>
          <w:spacing w:val="-3"/>
          <w:sz w:val="22"/>
          <w:szCs w:val="22"/>
          <w:lang w:eastAsia="en-GB"/>
        </w:rPr>
        <w:t>5.6 ;</w:t>
      </w:r>
      <w:proofErr w:type="gramEnd"/>
      <w:r w:rsidRPr="00947DBF">
        <w:rPr>
          <w:rFonts w:asciiTheme="minorHAnsi" w:hAnsiTheme="minorHAnsi" w:cstheme="minorHAnsi"/>
          <w:bCs/>
          <w:color w:val="000000"/>
          <w:spacing w:val="-3"/>
          <w:sz w:val="22"/>
          <w:szCs w:val="22"/>
          <w:lang w:eastAsia="en-GB"/>
        </w:rPr>
        <w:t xml:space="preserve"> 3.1 ; 3.7 ; 6.2 ; 13.B)</w:t>
      </w:r>
    </w:p>
    <w:p w14:paraId="6BD4597D" w14:textId="77777777" w:rsidR="000F28A0" w:rsidRPr="00590CF8" w:rsidRDefault="000F28A0" w:rsidP="000F28A0">
      <w:pPr>
        <w:pStyle w:val="ListParagraph"/>
        <w:numPr>
          <w:ilvl w:val="0"/>
          <w:numId w:val="5"/>
        </w:numPr>
        <w:contextualSpacing/>
        <w:jc w:val="both"/>
        <w:rPr>
          <w:rFonts w:asciiTheme="minorHAnsi" w:hAnsiTheme="minorHAnsi" w:cstheme="minorHAnsi"/>
          <w:bCs/>
          <w:color w:val="000000"/>
          <w:spacing w:val="-3"/>
          <w:sz w:val="22"/>
          <w:szCs w:val="22"/>
          <w:lang w:val="fr-FR" w:eastAsia="en-GB"/>
        </w:rPr>
      </w:pPr>
      <w:r w:rsidRPr="00590CF8">
        <w:rPr>
          <w:rFonts w:asciiTheme="minorHAnsi" w:hAnsiTheme="minorHAnsi" w:cstheme="minorHAnsi"/>
          <w:bCs/>
          <w:color w:val="000000"/>
          <w:spacing w:val="-3"/>
          <w:sz w:val="22"/>
          <w:szCs w:val="22"/>
          <w:lang w:val="fr-FR" w:eastAsia="en-GB"/>
        </w:rPr>
        <w:t>Capacité à prendre des décisions (ODD cibles : 5.4 ; 5.5 ; 16.7)</w:t>
      </w:r>
    </w:p>
    <w:p w14:paraId="4C7A09F2" w14:textId="77777777" w:rsidR="000F28A0" w:rsidRPr="00590CF8" w:rsidRDefault="000F28A0" w:rsidP="000F28A0">
      <w:pPr>
        <w:pStyle w:val="ListParagraph"/>
        <w:numPr>
          <w:ilvl w:val="0"/>
          <w:numId w:val="5"/>
        </w:numPr>
        <w:contextualSpacing/>
        <w:jc w:val="both"/>
        <w:rPr>
          <w:rFonts w:asciiTheme="minorHAnsi" w:hAnsiTheme="minorHAnsi" w:cstheme="minorHAnsi"/>
          <w:bCs/>
          <w:color w:val="000000"/>
          <w:spacing w:val="-3"/>
          <w:sz w:val="22"/>
          <w:szCs w:val="22"/>
          <w:lang w:val="fr-FR" w:eastAsia="en-GB"/>
        </w:rPr>
      </w:pPr>
      <w:r w:rsidRPr="00590CF8">
        <w:rPr>
          <w:rFonts w:asciiTheme="minorHAnsi" w:hAnsiTheme="minorHAnsi" w:cstheme="minorHAnsi"/>
          <w:bCs/>
          <w:color w:val="000000"/>
          <w:spacing w:val="-3"/>
          <w:sz w:val="22"/>
          <w:szCs w:val="22"/>
          <w:lang w:val="fr-FR" w:eastAsia="en-GB"/>
        </w:rPr>
        <w:t xml:space="preserve">Situation des hommes et des femmes devant la loi (ODD cibles : 5.A ; 5.C ; 10.4 ; 16.7 ; 16.B) </w:t>
      </w:r>
    </w:p>
    <w:p w14:paraId="00DC545F" w14:textId="77777777" w:rsidR="000F28A0" w:rsidRPr="00590CF8" w:rsidRDefault="000F28A0" w:rsidP="000F28A0">
      <w:pPr>
        <w:pStyle w:val="ListParagraph"/>
        <w:numPr>
          <w:ilvl w:val="0"/>
          <w:numId w:val="5"/>
        </w:numPr>
        <w:contextualSpacing/>
        <w:jc w:val="both"/>
        <w:rPr>
          <w:rFonts w:asciiTheme="minorHAnsi" w:hAnsiTheme="minorHAnsi" w:cstheme="minorHAnsi"/>
          <w:bCs/>
          <w:color w:val="000000"/>
          <w:spacing w:val="-3"/>
          <w:sz w:val="22"/>
          <w:szCs w:val="22"/>
          <w:lang w:val="fr-FR" w:eastAsia="en-GB"/>
        </w:rPr>
      </w:pPr>
      <w:r w:rsidRPr="00590CF8">
        <w:rPr>
          <w:rFonts w:asciiTheme="minorHAnsi" w:hAnsiTheme="minorHAnsi" w:cstheme="minorHAnsi"/>
          <w:bCs/>
          <w:color w:val="000000"/>
          <w:spacing w:val="-3"/>
          <w:sz w:val="22"/>
          <w:szCs w:val="22"/>
          <w:lang w:val="fr-FR" w:eastAsia="en-GB"/>
        </w:rPr>
        <w:t>Groupes les plus marginalisés (ODD cibles : 5.1 ; 10.2 ; 1.4)</w:t>
      </w:r>
    </w:p>
    <w:p w14:paraId="1F9D709E" w14:textId="77777777" w:rsidR="000F28A0" w:rsidRPr="00590CF8" w:rsidRDefault="000F28A0" w:rsidP="000F28A0">
      <w:pPr>
        <w:jc w:val="center"/>
        <w:rPr>
          <w:rStyle w:val="Hyperlink"/>
          <w:rFonts w:ascii="Calibri" w:hAnsi="Calibri"/>
          <w:i/>
          <w:iCs/>
          <w:sz w:val="20"/>
          <w:szCs w:val="20"/>
          <w:lang w:val="fr-FR"/>
        </w:rPr>
      </w:pPr>
    </w:p>
    <w:p w14:paraId="75F62866" w14:textId="77777777" w:rsidR="000F28A0" w:rsidRPr="00590CF8" w:rsidRDefault="000F28A0" w:rsidP="000F28A0">
      <w:pPr>
        <w:pStyle w:val="ListParagraph"/>
        <w:numPr>
          <w:ilvl w:val="0"/>
          <w:numId w:val="1"/>
        </w:numPr>
        <w:contextualSpacing/>
        <w:jc w:val="both"/>
        <w:rPr>
          <w:rFonts w:asciiTheme="minorHAnsi" w:hAnsiTheme="minorHAnsi" w:cstheme="minorHAnsi"/>
          <w:b/>
          <w:bCs/>
          <w:color w:val="000000"/>
          <w:spacing w:val="-3"/>
          <w:sz w:val="26"/>
          <w:szCs w:val="26"/>
          <w:lang w:val="fr-FR" w:bidi="fr-FR"/>
        </w:rPr>
      </w:pPr>
      <w:r w:rsidRPr="00590CF8">
        <w:rPr>
          <w:rFonts w:asciiTheme="minorHAnsi" w:hAnsiTheme="minorHAnsi" w:cstheme="minorHAnsi"/>
          <w:b/>
          <w:bCs/>
          <w:color w:val="000000"/>
          <w:spacing w:val="-3"/>
          <w:sz w:val="26"/>
          <w:szCs w:val="26"/>
          <w:lang w:val="fr-FR" w:bidi="fr-FR"/>
        </w:rPr>
        <w:t xml:space="preserve">Échéancier : Date de début et de fin de prestation des services requis / résultats </w:t>
      </w:r>
    </w:p>
    <w:p w14:paraId="7F78D5F0" w14:textId="77777777" w:rsidR="000F28A0" w:rsidRPr="00590CF8" w:rsidRDefault="000F28A0" w:rsidP="000F28A0">
      <w:pPr>
        <w:pStyle w:val="ListParagraph"/>
        <w:ind w:left="360"/>
        <w:contextualSpacing/>
        <w:jc w:val="both"/>
        <w:rPr>
          <w:rFonts w:asciiTheme="minorHAnsi" w:hAnsiTheme="minorHAnsi" w:cstheme="minorHAnsi"/>
          <w:b/>
          <w:bCs/>
          <w:color w:val="000000"/>
          <w:spacing w:val="-3"/>
          <w:sz w:val="26"/>
          <w:szCs w:val="26"/>
          <w:lang w:val="fr-FR" w:bidi="fr-FR"/>
        </w:rPr>
      </w:pPr>
    </w:p>
    <w:p w14:paraId="59B44A9A" w14:textId="77777777" w:rsidR="000F28A0" w:rsidRPr="00AE6726" w:rsidRDefault="000F28A0" w:rsidP="000F28A0">
      <w:pPr>
        <w:tabs>
          <w:tab w:val="center" w:pos="4320"/>
          <w:tab w:val="right" w:pos="8640"/>
        </w:tabs>
        <w:spacing w:after="0" w:line="240" w:lineRule="auto"/>
        <w:jc w:val="both"/>
      </w:pPr>
      <w:r w:rsidRPr="00AE6726">
        <w:rPr>
          <w:rFonts w:cs="Calibri"/>
          <w:color w:val="000000"/>
        </w:rPr>
        <w:t xml:space="preserve">La mission </w:t>
      </w:r>
      <w:r>
        <w:rPr>
          <w:rFonts w:cs="Calibri"/>
          <w:color w:val="000000"/>
        </w:rPr>
        <w:t>sera d’une durée de</w:t>
      </w:r>
      <w:r w:rsidRPr="00AE6726">
        <w:rPr>
          <w:rFonts w:cs="Calibri"/>
          <w:color w:val="000000"/>
        </w:rPr>
        <w:t xml:space="preserve"> 60 jours ouvrables répartis entre les mois de </w:t>
      </w:r>
      <w:r>
        <w:rPr>
          <w:rFonts w:cs="Calibri"/>
          <w:color w:val="000000"/>
        </w:rPr>
        <w:t xml:space="preserve">Octobre </w:t>
      </w:r>
      <w:r w:rsidRPr="00AE6726">
        <w:rPr>
          <w:rFonts w:cs="Calibri"/>
          <w:color w:val="000000"/>
        </w:rPr>
        <w:t xml:space="preserve">2021 et </w:t>
      </w:r>
      <w:r>
        <w:rPr>
          <w:rFonts w:cs="Calibri"/>
          <w:color w:val="000000"/>
        </w:rPr>
        <w:t>f</w:t>
      </w:r>
      <w:r w:rsidRPr="00AE6726">
        <w:rPr>
          <w:rFonts w:cs="Calibri"/>
          <w:color w:val="000000"/>
        </w:rPr>
        <w:t>évrier</w:t>
      </w:r>
      <w:r>
        <w:rPr>
          <w:rFonts w:cs="Calibri"/>
          <w:color w:val="000000"/>
        </w:rPr>
        <w:t xml:space="preserve"> </w:t>
      </w:r>
      <w:r w:rsidRPr="00AE6726">
        <w:rPr>
          <w:rFonts w:cs="Calibri"/>
          <w:color w:val="000000"/>
        </w:rPr>
        <w:t>2022</w:t>
      </w:r>
      <w:r>
        <w:rPr>
          <w:rFonts w:cs="Calibri"/>
          <w:color w:val="000000"/>
        </w:rPr>
        <w:t>,</w:t>
      </w:r>
      <w:r w:rsidRPr="00AE6726">
        <w:rPr>
          <w:rFonts w:cs="Calibri"/>
          <w:color w:val="000000"/>
        </w:rPr>
        <w:t xml:space="preserve"> </w:t>
      </w:r>
      <w:r w:rsidRPr="00A54049">
        <w:rPr>
          <w:rFonts w:cs="Calibri"/>
          <w:color w:val="000000"/>
        </w:rPr>
        <w:t xml:space="preserve">avec une charge estimative </w:t>
      </w:r>
      <w:r>
        <w:rPr>
          <w:rFonts w:cs="Calibri"/>
          <w:color w:val="000000"/>
        </w:rPr>
        <w:t xml:space="preserve">de travail </w:t>
      </w:r>
      <w:r w:rsidRPr="00A54049">
        <w:rPr>
          <w:rFonts w:cs="Calibri"/>
          <w:color w:val="000000"/>
        </w:rPr>
        <w:t>d’environ 180 hommes/jour</w:t>
      </w:r>
      <w:r>
        <w:rPr>
          <w:rFonts w:cs="Calibri"/>
          <w:color w:val="000000"/>
        </w:rPr>
        <w:t xml:space="preserve">. </w:t>
      </w:r>
      <w:r w:rsidRPr="00AE6726">
        <w:rPr>
          <w:rFonts w:cs="Calibri"/>
          <w:color w:val="000000"/>
        </w:rPr>
        <w:t>En raison</w:t>
      </w:r>
      <w:r>
        <w:rPr>
          <w:rFonts w:cs="Calibri"/>
          <w:color w:val="000000"/>
        </w:rPr>
        <w:t xml:space="preserve"> </w:t>
      </w:r>
      <w:r w:rsidRPr="00AE6726">
        <w:rPr>
          <w:rFonts w:cs="Calibri"/>
          <w:color w:val="000000"/>
        </w:rPr>
        <w:t xml:space="preserve">de la pandémie </w:t>
      </w:r>
      <w:r>
        <w:rPr>
          <w:rFonts w:cs="Calibri"/>
          <w:color w:val="000000"/>
        </w:rPr>
        <w:t>Covid-19</w:t>
      </w:r>
      <w:r w:rsidRPr="00AE6726">
        <w:rPr>
          <w:rFonts w:cs="Calibri"/>
          <w:color w:val="000000"/>
        </w:rPr>
        <w:t>, une partie de la mission pourra être conduite à distance. Néanmoins, les</w:t>
      </w:r>
      <w:r>
        <w:rPr>
          <w:rFonts w:cs="Calibri"/>
          <w:color w:val="000000"/>
        </w:rPr>
        <w:t xml:space="preserve"> </w:t>
      </w:r>
      <w:r w:rsidRPr="00AE6726">
        <w:rPr>
          <w:rFonts w:cs="Calibri"/>
          <w:color w:val="000000"/>
        </w:rPr>
        <w:t>phases de collecte de données et de rencontre</w:t>
      </w:r>
      <w:r>
        <w:rPr>
          <w:rFonts w:cs="Calibri"/>
          <w:color w:val="000000"/>
        </w:rPr>
        <w:t>s</w:t>
      </w:r>
      <w:r w:rsidRPr="00AE6726">
        <w:rPr>
          <w:rFonts w:cs="Calibri"/>
          <w:color w:val="000000"/>
        </w:rPr>
        <w:t xml:space="preserve"> avec les partenaires pourront se faire en présentiel dans les </w:t>
      </w:r>
      <w:r>
        <w:rPr>
          <w:rFonts w:cs="Calibri"/>
          <w:color w:val="000000"/>
        </w:rPr>
        <w:t>sept</w:t>
      </w:r>
      <w:r w:rsidRPr="00AE6726">
        <w:rPr>
          <w:rFonts w:cs="Calibri"/>
          <w:color w:val="000000"/>
        </w:rPr>
        <w:t xml:space="preserve"> communes du Sud de la Tunisie, ciblées par le projet, dans le respect des mesures sanitaires édictées par le gouvernement</w:t>
      </w:r>
      <w:r>
        <w:rPr>
          <w:rFonts w:cs="Calibri"/>
          <w:color w:val="000000"/>
        </w:rPr>
        <w:t xml:space="preserve"> (NB. sous réserve de l’évolution de la situation sanitaire et des mesures officielles décidées dans les gouvernorats concernés)</w:t>
      </w:r>
      <w:r w:rsidRPr="00AE6726">
        <w:rPr>
          <w:rFonts w:cs="Calibri"/>
          <w:color w:val="000000"/>
        </w:rPr>
        <w:t>.</w:t>
      </w:r>
    </w:p>
    <w:p w14:paraId="749EDDDE" w14:textId="77777777" w:rsidR="000F28A0" w:rsidRDefault="000F28A0" w:rsidP="000F28A0">
      <w:pPr>
        <w:jc w:val="center"/>
        <w:rPr>
          <w:rStyle w:val="Hyperlink"/>
          <w:rFonts w:ascii="Calibri" w:hAnsi="Calibri"/>
          <w:i/>
          <w:iCs/>
          <w:sz w:val="20"/>
          <w:szCs w:val="20"/>
        </w:rPr>
      </w:pPr>
    </w:p>
    <w:tbl>
      <w:tblPr>
        <w:tblStyle w:val="TableGrid"/>
        <w:tblW w:w="9072" w:type="dxa"/>
        <w:tblInd w:w="-5" w:type="dxa"/>
        <w:tblLook w:val="04A0" w:firstRow="1" w:lastRow="0" w:firstColumn="1" w:lastColumn="0" w:noHBand="0" w:noVBand="1"/>
      </w:tblPr>
      <w:tblGrid>
        <w:gridCol w:w="2406"/>
        <w:gridCol w:w="4522"/>
        <w:gridCol w:w="1012"/>
        <w:gridCol w:w="1132"/>
      </w:tblGrid>
      <w:tr w:rsidR="000F28A0" w:rsidRPr="00D96C2E" w14:paraId="28146EA7" w14:textId="77777777" w:rsidTr="00AF0ED1">
        <w:trPr>
          <w:trHeight w:val="272"/>
        </w:trPr>
        <w:tc>
          <w:tcPr>
            <w:tcW w:w="2406" w:type="dxa"/>
            <w:tcBorders>
              <w:bottom w:val="single" w:sz="4" w:space="0" w:color="auto"/>
            </w:tcBorders>
            <w:shd w:val="clear" w:color="auto" w:fill="E7E6E6" w:themeFill="background2"/>
          </w:tcPr>
          <w:p w14:paraId="0DB28B62" w14:textId="77777777" w:rsidR="000F28A0" w:rsidRPr="00D96C2E" w:rsidRDefault="000F28A0" w:rsidP="00AF0ED1">
            <w:pPr>
              <w:jc w:val="center"/>
              <w:rPr>
                <w:b/>
                <w:sz w:val="20"/>
                <w:szCs w:val="20"/>
                <w:lang w:val="en-GB"/>
              </w:rPr>
            </w:pPr>
            <w:r>
              <w:rPr>
                <w:b/>
                <w:sz w:val="20"/>
                <w:szCs w:val="20"/>
                <w:lang w:val="en-GB"/>
              </w:rPr>
              <w:t xml:space="preserve">Phase / </w:t>
            </w:r>
            <w:proofErr w:type="spellStart"/>
            <w:r>
              <w:rPr>
                <w:b/>
                <w:sz w:val="20"/>
                <w:szCs w:val="20"/>
                <w:lang w:val="en-GB"/>
              </w:rPr>
              <w:t>Activité</w:t>
            </w:r>
            <w:proofErr w:type="spellEnd"/>
          </w:p>
        </w:tc>
        <w:tc>
          <w:tcPr>
            <w:tcW w:w="4522" w:type="dxa"/>
            <w:tcBorders>
              <w:bottom w:val="single" w:sz="4" w:space="0" w:color="auto"/>
            </w:tcBorders>
            <w:shd w:val="clear" w:color="auto" w:fill="E7E6E6" w:themeFill="background2"/>
          </w:tcPr>
          <w:p w14:paraId="1599DA4A" w14:textId="77777777" w:rsidR="000F28A0" w:rsidRPr="00D96C2E" w:rsidRDefault="000F28A0" w:rsidP="00AF0ED1">
            <w:pPr>
              <w:jc w:val="center"/>
              <w:rPr>
                <w:b/>
                <w:sz w:val="20"/>
                <w:szCs w:val="20"/>
                <w:lang w:val="en-GB"/>
              </w:rPr>
            </w:pPr>
            <w:proofErr w:type="spellStart"/>
            <w:r>
              <w:rPr>
                <w:b/>
                <w:sz w:val="20"/>
                <w:szCs w:val="20"/>
                <w:lang w:val="en-GB"/>
              </w:rPr>
              <w:t>Liv</w:t>
            </w:r>
            <w:r w:rsidRPr="00D96C2E">
              <w:rPr>
                <w:b/>
                <w:sz w:val="20"/>
                <w:szCs w:val="20"/>
                <w:lang w:val="en-GB"/>
              </w:rPr>
              <w:t>rable</w:t>
            </w:r>
            <w:r>
              <w:rPr>
                <w:b/>
                <w:sz w:val="20"/>
                <w:szCs w:val="20"/>
                <w:lang w:val="en-GB"/>
              </w:rPr>
              <w:t>s</w:t>
            </w:r>
            <w:proofErr w:type="spellEnd"/>
          </w:p>
        </w:tc>
        <w:tc>
          <w:tcPr>
            <w:tcW w:w="1012" w:type="dxa"/>
            <w:shd w:val="clear" w:color="auto" w:fill="E7E6E6" w:themeFill="background2"/>
          </w:tcPr>
          <w:p w14:paraId="4A57F863" w14:textId="77777777" w:rsidR="000F28A0" w:rsidRPr="00D96C2E" w:rsidRDefault="000F28A0" w:rsidP="00AF0ED1">
            <w:pPr>
              <w:jc w:val="center"/>
              <w:rPr>
                <w:b/>
                <w:sz w:val="20"/>
                <w:szCs w:val="20"/>
                <w:lang w:val="en-GB"/>
              </w:rPr>
            </w:pPr>
            <w:r>
              <w:rPr>
                <w:b/>
                <w:sz w:val="20"/>
                <w:szCs w:val="20"/>
                <w:lang w:val="en-GB"/>
              </w:rPr>
              <w:t xml:space="preserve">% </w:t>
            </w:r>
            <w:proofErr w:type="spellStart"/>
            <w:r>
              <w:rPr>
                <w:b/>
                <w:sz w:val="20"/>
                <w:szCs w:val="20"/>
                <w:lang w:val="en-GB"/>
              </w:rPr>
              <w:t>Paiement</w:t>
            </w:r>
            <w:proofErr w:type="spellEnd"/>
          </w:p>
        </w:tc>
        <w:tc>
          <w:tcPr>
            <w:tcW w:w="1132" w:type="dxa"/>
            <w:shd w:val="clear" w:color="auto" w:fill="E7E6E6" w:themeFill="background2"/>
          </w:tcPr>
          <w:p w14:paraId="2BE0CDF3" w14:textId="77777777" w:rsidR="000F28A0" w:rsidRDefault="000F28A0" w:rsidP="00AF0ED1">
            <w:pPr>
              <w:jc w:val="center"/>
              <w:rPr>
                <w:b/>
                <w:sz w:val="20"/>
                <w:szCs w:val="20"/>
                <w:lang w:val="en-GB"/>
              </w:rPr>
            </w:pPr>
            <w:proofErr w:type="spellStart"/>
            <w:r>
              <w:rPr>
                <w:b/>
                <w:sz w:val="20"/>
                <w:szCs w:val="20"/>
                <w:lang w:val="en-GB"/>
              </w:rPr>
              <w:t>Délai</w:t>
            </w:r>
            <w:proofErr w:type="spellEnd"/>
          </w:p>
          <w:p w14:paraId="6A49B0E7" w14:textId="77777777" w:rsidR="000F28A0" w:rsidRPr="00D96C2E" w:rsidRDefault="000F28A0" w:rsidP="00AF0ED1">
            <w:pPr>
              <w:jc w:val="center"/>
              <w:rPr>
                <w:b/>
                <w:sz w:val="20"/>
                <w:szCs w:val="20"/>
                <w:lang w:val="en-GB"/>
              </w:rPr>
            </w:pPr>
            <w:r>
              <w:rPr>
                <w:b/>
                <w:sz w:val="20"/>
                <w:szCs w:val="20"/>
                <w:lang w:val="en-GB"/>
              </w:rPr>
              <w:t>(</w:t>
            </w:r>
            <w:proofErr w:type="spellStart"/>
            <w:r>
              <w:rPr>
                <w:b/>
                <w:sz w:val="20"/>
                <w:szCs w:val="20"/>
                <w:lang w:val="en-GB"/>
              </w:rPr>
              <w:t>jours</w:t>
            </w:r>
            <w:proofErr w:type="spellEnd"/>
            <w:r>
              <w:rPr>
                <w:b/>
                <w:sz w:val="20"/>
                <w:szCs w:val="20"/>
                <w:lang w:val="en-GB"/>
              </w:rPr>
              <w:t>)</w:t>
            </w:r>
          </w:p>
        </w:tc>
      </w:tr>
      <w:tr w:rsidR="000F28A0" w:rsidRPr="00D96C2E" w14:paraId="5BF5A50B" w14:textId="77777777" w:rsidTr="00AF0ED1">
        <w:trPr>
          <w:trHeight w:val="257"/>
        </w:trPr>
        <w:tc>
          <w:tcPr>
            <w:tcW w:w="9072" w:type="dxa"/>
            <w:gridSpan w:val="4"/>
          </w:tcPr>
          <w:p w14:paraId="32E5C340" w14:textId="77777777" w:rsidR="000F28A0" w:rsidRPr="00590CF8" w:rsidRDefault="000F28A0" w:rsidP="00AF0ED1">
            <w:pPr>
              <w:outlineLvl w:val="0"/>
              <w:rPr>
                <w:rFonts w:cs="Arial"/>
                <w:b/>
                <w:bCs/>
                <w:lang w:val="fr-FR"/>
              </w:rPr>
            </w:pPr>
            <w:r w:rsidRPr="00590CF8">
              <w:rPr>
                <w:rFonts w:cs="Arial"/>
                <w:b/>
                <w:bCs/>
                <w:lang w:val="fr-FR"/>
              </w:rPr>
              <w:t xml:space="preserve">Soit T0 : la date de signature du contrat </w:t>
            </w:r>
          </w:p>
          <w:p w14:paraId="33804C23" w14:textId="77777777" w:rsidR="000F28A0" w:rsidRPr="00590CF8" w:rsidRDefault="000F28A0" w:rsidP="00AF0ED1">
            <w:pPr>
              <w:jc w:val="center"/>
              <w:rPr>
                <w:i/>
                <w:color w:val="538135" w:themeColor="accent6" w:themeShade="BF"/>
                <w:sz w:val="20"/>
                <w:szCs w:val="20"/>
                <w:lang w:val="fr-FR"/>
              </w:rPr>
            </w:pPr>
          </w:p>
        </w:tc>
      </w:tr>
      <w:tr w:rsidR="000F28A0" w:rsidRPr="00D96C2E" w14:paraId="68F5D764" w14:textId="77777777" w:rsidTr="00AF0ED1">
        <w:trPr>
          <w:trHeight w:val="257"/>
        </w:trPr>
        <w:tc>
          <w:tcPr>
            <w:tcW w:w="2410" w:type="dxa"/>
          </w:tcPr>
          <w:p w14:paraId="79C97806" w14:textId="77777777" w:rsidR="000F28A0" w:rsidRPr="00590CF8" w:rsidRDefault="000F28A0" w:rsidP="00AF0ED1">
            <w:pPr>
              <w:jc w:val="both"/>
              <w:rPr>
                <w:i/>
                <w:color w:val="FF0000"/>
                <w:sz w:val="20"/>
                <w:szCs w:val="20"/>
                <w:lang w:val="fr-FR"/>
              </w:rPr>
            </w:pPr>
            <w:r w:rsidRPr="00AE6726">
              <w:rPr>
                <w:rFonts w:eastAsia="Times New Roman" w:cs="Calibri"/>
                <w:bCs/>
                <w:color w:val="000000"/>
                <w:spacing w:val="-3"/>
                <w:lang w:bidi="fr-FR"/>
              </w:rPr>
              <w:t xml:space="preserve">Phase de démarrage  </w:t>
            </w:r>
            <w:r>
              <w:rPr>
                <w:rFonts w:eastAsia="Times New Roman" w:cs="Calibri"/>
                <w:bCs/>
                <w:color w:val="000000"/>
                <w:spacing w:val="-3"/>
                <w:lang w:bidi="fr-FR"/>
              </w:rPr>
              <w:t>: Cadrage de l‘étude</w:t>
            </w:r>
          </w:p>
        </w:tc>
        <w:tc>
          <w:tcPr>
            <w:tcW w:w="4536" w:type="dxa"/>
          </w:tcPr>
          <w:p w14:paraId="410E8700" w14:textId="77777777" w:rsidR="000F28A0" w:rsidRPr="00AE6726" w:rsidRDefault="000F28A0" w:rsidP="00AF0ED1">
            <w:pPr>
              <w:tabs>
                <w:tab w:val="center" w:pos="4320"/>
                <w:tab w:val="right" w:pos="8640"/>
              </w:tabs>
              <w:rPr>
                <w:rFonts w:eastAsia="Times New Roman" w:cs="Calibri"/>
                <w:bCs/>
                <w:color w:val="000000"/>
                <w:spacing w:val="-3"/>
                <w:lang w:bidi="fr-FR"/>
              </w:rPr>
            </w:pPr>
            <w:r w:rsidRPr="00AE6726">
              <w:rPr>
                <w:rFonts w:eastAsia="Times New Roman" w:cs="Calibri"/>
                <w:bCs/>
                <w:color w:val="000000"/>
                <w:spacing w:val="-3"/>
                <w:lang w:bidi="fr-FR"/>
              </w:rPr>
              <w:t>Note méthodologique de 5 pages maximum</w:t>
            </w:r>
          </w:p>
          <w:p w14:paraId="655DD88D" w14:textId="77777777" w:rsidR="000F28A0" w:rsidRPr="00AE6726" w:rsidRDefault="000F28A0" w:rsidP="00AF0ED1">
            <w:pPr>
              <w:tabs>
                <w:tab w:val="center" w:pos="4320"/>
                <w:tab w:val="right" w:pos="8640"/>
              </w:tabs>
              <w:rPr>
                <w:rFonts w:eastAsia="Times New Roman" w:cs="Calibri"/>
                <w:bCs/>
                <w:color w:val="000000"/>
                <w:spacing w:val="-3"/>
                <w:lang w:bidi="fr-FR"/>
              </w:rPr>
            </w:pPr>
            <w:r>
              <w:rPr>
                <w:rFonts w:eastAsia="Times New Roman" w:cs="Calibri"/>
                <w:bCs/>
                <w:color w:val="000000"/>
                <w:spacing w:val="-3"/>
                <w:lang w:bidi="fr-FR"/>
              </w:rPr>
              <w:t>d</w:t>
            </w:r>
            <w:r w:rsidRPr="00AE6726">
              <w:rPr>
                <w:rFonts w:eastAsia="Times New Roman" w:cs="Calibri"/>
                <w:bCs/>
                <w:color w:val="000000"/>
                <w:spacing w:val="-3"/>
                <w:lang w:bidi="fr-FR"/>
              </w:rPr>
              <w:t>écrivant</w:t>
            </w:r>
            <w:r>
              <w:rPr>
                <w:rFonts w:eastAsia="Times New Roman" w:cs="Calibri"/>
                <w:bCs/>
                <w:color w:val="000000"/>
                <w:spacing w:val="-3"/>
                <w:lang w:bidi="fr-FR"/>
              </w:rPr>
              <w:t xml:space="preserve"> </w:t>
            </w:r>
            <w:r w:rsidRPr="00AE6726">
              <w:rPr>
                <w:rFonts w:eastAsia="Times New Roman" w:cs="Calibri"/>
                <w:bCs/>
                <w:color w:val="000000"/>
                <w:spacing w:val="-3"/>
                <w:lang w:bidi="fr-FR"/>
              </w:rPr>
              <w:t xml:space="preserve">clairement la méthodologie de conduite de la mission, les acteurs à rencontrer, les outils de collecte d’information et le chronogramme détaillé du processus d’actualisation. </w:t>
            </w:r>
          </w:p>
          <w:p w14:paraId="5C4972FC" w14:textId="77777777" w:rsidR="000F28A0" w:rsidRPr="00AE6726" w:rsidRDefault="000F28A0" w:rsidP="00AF0ED1">
            <w:pPr>
              <w:tabs>
                <w:tab w:val="center" w:pos="4320"/>
                <w:tab w:val="right" w:pos="8640"/>
              </w:tabs>
              <w:rPr>
                <w:rFonts w:eastAsia="Times New Roman" w:cs="Calibri"/>
                <w:b/>
                <w:bCs/>
                <w:color w:val="000000"/>
                <w:spacing w:val="-3"/>
                <w:lang w:bidi="fr-FR"/>
              </w:rPr>
            </w:pPr>
            <w:r w:rsidRPr="00AE6726">
              <w:rPr>
                <w:rFonts w:eastAsia="Times New Roman" w:cs="Calibri"/>
                <w:b/>
                <w:bCs/>
                <w:color w:val="000000"/>
                <w:spacing w:val="-3"/>
                <w:lang w:bidi="fr-FR"/>
              </w:rPr>
              <w:t>Note méthodologique validée</w:t>
            </w:r>
          </w:p>
          <w:p w14:paraId="08CD1E9E" w14:textId="77777777" w:rsidR="000F28A0" w:rsidRPr="00D96C2E" w:rsidRDefault="000F28A0" w:rsidP="00AF0ED1">
            <w:pPr>
              <w:jc w:val="both"/>
              <w:rPr>
                <w:i/>
                <w:color w:val="0070C0"/>
                <w:sz w:val="20"/>
                <w:szCs w:val="20"/>
                <w:lang w:val="en-GB"/>
              </w:rPr>
            </w:pPr>
          </w:p>
        </w:tc>
        <w:tc>
          <w:tcPr>
            <w:tcW w:w="992" w:type="dxa"/>
          </w:tcPr>
          <w:p w14:paraId="401C4A8C" w14:textId="77777777" w:rsidR="000F28A0" w:rsidRPr="00E568DD" w:rsidRDefault="000F28A0" w:rsidP="00AF0ED1">
            <w:pPr>
              <w:jc w:val="center"/>
              <w:rPr>
                <w:i/>
                <w:color w:val="538135" w:themeColor="accent6" w:themeShade="BF"/>
                <w:sz w:val="20"/>
                <w:szCs w:val="20"/>
                <w:lang w:val="en-GB"/>
              </w:rPr>
            </w:pPr>
            <w:r>
              <w:rPr>
                <w:i/>
                <w:color w:val="538135" w:themeColor="accent6" w:themeShade="BF"/>
                <w:sz w:val="20"/>
                <w:szCs w:val="20"/>
                <w:lang w:val="en-GB"/>
              </w:rPr>
              <w:t>10</w:t>
            </w:r>
            <w:r w:rsidRPr="00E568DD">
              <w:rPr>
                <w:i/>
                <w:color w:val="538135" w:themeColor="accent6" w:themeShade="BF"/>
                <w:sz w:val="20"/>
                <w:szCs w:val="20"/>
                <w:lang w:val="en-GB"/>
              </w:rPr>
              <w:t>%</w:t>
            </w:r>
          </w:p>
        </w:tc>
        <w:tc>
          <w:tcPr>
            <w:tcW w:w="1134" w:type="dxa"/>
          </w:tcPr>
          <w:p w14:paraId="1864AAB6" w14:textId="77777777" w:rsidR="000F28A0" w:rsidRPr="00E568DD" w:rsidRDefault="000F28A0" w:rsidP="00AF0ED1">
            <w:pPr>
              <w:jc w:val="center"/>
              <w:rPr>
                <w:i/>
                <w:color w:val="538135" w:themeColor="accent6" w:themeShade="BF"/>
                <w:sz w:val="20"/>
                <w:szCs w:val="20"/>
                <w:lang w:val="en-GB"/>
              </w:rPr>
            </w:pPr>
            <w:r w:rsidRPr="00E568DD">
              <w:rPr>
                <w:i/>
                <w:color w:val="538135" w:themeColor="accent6" w:themeShade="BF"/>
                <w:sz w:val="20"/>
                <w:szCs w:val="20"/>
                <w:lang w:val="en-GB"/>
              </w:rPr>
              <w:t>T0 + 5</w:t>
            </w:r>
            <w:r>
              <w:rPr>
                <w:i/>
                <w:color w:val="538135" w:themeColor="accent6" w:themeShade="BF"/>
                <w:sz w:val="20"/>
                <w:szCs w:val="20"/>
                <w:lang w:val="en-GB"/>
              </w:rPr>
              <w:t xml:space="preserve"> j</w:t>
            </w:r>
          </w:p>
        </w:tc>
      </w:tr>
      <w:tr w:rsidR="000F28A0" w:rsidRPr="00D96C2E" w14:paraId="57D102D7" w14:textId="77777777" w:rsidTr="00AF0ED1">
        <w:trPr>
          <w:trHeight w:val="257"/>
        </w:trPr>
        <w:tc>
          <w:tcPr>
            <w:tcW w:w="2410" w:type="dxa"/>
          </w:tcPr>
          <w:p w14:paraId="3A54F7E9" w14:textId="77777777" w:rsidR="000F28A0" w:rsidRPr="00590CF8" w:rsidRDefault="000F28A0" w:rsidP="00AF0ED1">
            <w:pPr>
              <w:jc w:val="both"/>
              <w:rPr>
                <w:i/>
                <w:color w:val="FF0000"/>
                <w:sz w:val="20"/>
                <w:szCs w:val="20"/>
                <w:lang w:val="fr-FR"/>
              </w:rPr>
            </w:pPr>
            <w:r w:rsidRPr="00AE6726">
              <w:rPr>
                <w:rFonts w:eastAsia="Times New Roman" w:cs="Calibri"/>
                <w:bCs/>
                <w:color w:val="000000"/>
                <w:spacing w:val="-3"/>
                <w:lang w:bidi="fr-FR"/>
              </w:rPr>
              <w:t>Phase de collecte</w:t>
            </w:r>
            <w:r>
              <w:rPr>
                <w:rFonts w:eastAsia="Times New Roman" w:cs="Calibri"/>
                <w:bCs/>
                <w:color w:val="000000"/>
                <w:spacing w:val="-3"/>
                <w:lang w:bidi="fr-FR"/>
              </w:rPr>
              <w:t>, d’exploitation</w:t>
            </w:r>
            <w:r w:rsidRPr="00AE6726">
              <w:rPr>
                <w:rFonts w:eastAsia="Times New Roman" w:cs="Calibri"/>
                <w:bCs/>
                <w:color w:val="000000"/>
                <w:spacing w:val="-3"/>
                <w:lang w:bidi="fr-FR"/>
              </w:rPr>
              <w:t xml:space="preserve"> et d’analyse : Collecte des données et documents auprès des femmes et filles cibles ; revue documentaire, Ateliers de coconstruction ; traitement, exploitation et analyse des données collectées, puis présentation du draft de rapport </w:t>
            </w:r>
            <w:r>
              <w:rPr>
                <w:rFonts w:eastAsia="Times New Roman" w:cs="Calibri"/>
                <w:bCs/>
                <w:color w:val="000000"/>
                <w:spacing w:val="-3"/>
                <w:lang w:bidi="fr-FR"/>
              </w:rPr>
              <w:t>et recueil de commentaires à intégrer dans la version finale</w:t>
            </w:r>
          </w:p>
        </w:tc>
        <w:tc>
          <w:tcPr>
            <w:tcW w:w="4536" w:type="dxa"/>
          </w:tcPr>
          <w:p w14:paraId="68B784A7" w14:textId="77777777" w:rsidR="000F28A0" w:rsidRPr="00AE6726" w:rsidRDefault="000F28A0" w:rsidP="00AF0ED1">
            <w:pPr>
              <w:tabs>
                <w:tab w:val="center" w:pos="4320"/>
                <w:tab w:val="right" w:pos="8640"/>
              </w:tabs>
              <w:rPr>
                <w:rFonts w:eastAsia="Times New Roman" w:cs="Calibri"/>
                <w:b/>
                <w:bCs/>
                <w:color w:val="000000"/>
                <w:spacing w:val="-3"/>
                <w:lang w:bidi="fr-FR"/>
              </w:rPr>
            </w:pPr>
            <w:r w:rsidRPr="00AE6726">
              <w:rPr>
                <w:rFonts w:eastAsia="Times New Roman" w:cs="Calibri"/>
                <w:b/>
                <w:bCs/>
                <w:color w:val="000000"/>
                <w:spacing w:val="-3"/>
                <w:lang w:bidi="fr-FR"/>
              </w:rPr>
              <w:t>Rapport intermédiaire d’étape de la mission comprenant :</w:t>
            </w:r>
          </w:p>
          <w:p w14:paraId="6368E0CB" w14:textId="77777777" w:rsidR="000F28A0" w:rsidRPr="00AE6726" w:rsidRDefault="000F28A0" w:rsidP="00AF0ED1">
            <w:pPr>
              <w:tabs>
                <w:tab w:val="center" w:pos="4320"/>
                <w:tab w:val="right" w:pos="8640"/>
              </w:tabs>
              <w:rPr>
                <w:rFonts w:eastAsia="Times New Roman" w:cs="Calibri"/>
                <w:bCs/>
                <w:color w:val="000000"/>
                <w:spacing w:val="-3"/>
                <w:lang w:bidi="fr-FR"/>
              </w:rPr>
            </w:pPr>
            <w:r w:rsidRPr="00AE6726">
              <w:rPr>
                <w:rFonts w:eastAsia="Times New Roman" w:cs="Calibri"/>
                <w:bCs/>
                <w:color w:val="000000"/>
                <w:spacing w:val="-3"/>
                <w:lang w:bidi="fr-FR"/>
              </w:rPr>
              <w:t>- Draft de la cartographie des 210 femmes et filles participant à l’étude et des acteurs clés</w:t>
            </w:r>
          </w:p>
          <w:p w14:paraId="4984BBB0" w14:textId="77777777" w:rsidR="000F28A0" w:rsidRPr="00AE6726" w:rsidRDefault="000F28A0" w:rsidP="00AF0ED1">
            <w:pPr>
              <w:tabs>
                <w:tab w:val="center" w:pos="4320"/>
                <w:tab w:val="right" w:pos="8640"/>
              </w:tabs>
              <w:rPr>
                <w:rFonts w:cs="Calibri"/>
                <w:color w:val="000000"/>
              </w:rPr>
            </w:pPr>
            <w:r w:rsidRPr="00AE6726">
              <w:rPr>
                <w:rFonts w:eastAsia="Times New Roman" w:cs="Calibri"/>
                <w:bCs/>
                <w:color w:val="000000"/>
                <w:spacing w:val="-3"/>
                <w:lang w:bidi="fr-FR"/>
              </w:rPr>
              <w:t xml:space="preserve">- </w:t>
            </w:r>
            <w:r w:rsidRPr="00AE6726">
              <w:rPr>
                <w:rFonts w:cs="Calibri"/>
                <w:color w:val="000000"/>
              </w:rPr>
              <w:t xml:space="preserve">Un rapport de synthèse sur les dernières recherches &amp; </w:t>
            </w:r>
            <w:r>
              <w:rPr>
                <w:rFonts w:cs="Calibri"/>
                <w:color w:val="000000"/>
              </w:rPr>
              <w:t xml:space="preserve">des </w:t>
            </w:r>
            <w:r w:rsidRPr="00AE6726">
              <w:rPr>
                <w:rFonts w:cs="Calibri"/>
                <w:color w:val="000000"/>
              </w:rPr>
              <w:t>développement</w:t>
            </w:r>
            <w:r>
              <w:rPr>
                <w:rFonts w:cs="Calibri"/>
                <w:color w:val="000000"/>
              </w:rPr>
              <w:t>s</w:t>
            </w:r>
            <w:r w:rsidRPr="00AE6726">
              <w:rPr>
                <w:rFonts w:cs="Calibri"/>
                <w:color w:val="000000"/>
              </w:rPr>
              <w:t xml:space="preserve"> (depuis la Covid 19), au niveau international et national en lien avec l’étude </w:t>
            </w:r>
          </w:p>
          <w:p w14:paraId="04213704" w14:textId="77777777" w:rsidR="000F28A0" w:rsidRPr="00AE6726" w:rsidRDefault="000F28A0" w:rsidP="00AF0ED1">
            <w:pPr>
              <w:tabs>
                <w:tab w:val="center" w:pos="4320"/>
                <w:tab w:val="right" w:pos="8640"/>
              </w:tabs>
              <w:rPr>
                <w:rFonts w:eastAsia="Times New Roman" w:cs="Calibri"/>
                <w:b/>
                <w:bCs/>
                <w:color w:val="000000"/>
                <w:spacing w:val="-3"/>
                <w:lang w:eastAsia="en-GB"/>
              </w:rPr>
            </w:pPr>
            <w:r w:rsidRPr="00AE6726">
              <w:rPr>
                <w:rFonts w:cs="Calibri"/>
                <w:color w:val="000000"/>
              </w:rPr>
              <w:t xml:space="preserve">- Une description de la situation des vulnérabilités et opportunités socio-économiques dans le Sud de la Tunisie avec une analyse approfondie du rôle de ces femmes et jeunes filles dans la cohésion sociale, la consolidation de la paix et le développement durable. </w:t>
            </w:r>
          </w:p>
          <w:p w14:paraId="09485366" w14:textId="77777777" w:rsidR="000F28A0" w:rsidRPr="00AE6726" w:rsidRDefault="000F28A0" w:rsidP="00AF0ED1">
            <w:pPr>
              <w:tabs>
                <w:tab w:val="center" w:pos="4320"/>
                <w:tab w:val="right" w:pos="8640"/>
              </w:tabs>
              <w:rPr>
                <w:rFonts w:cs="Calibri"/>
                <w:color w:val="000000"/>
              </w:rPr>
            </w:pPr>
            <w:r w:rsidRPr="00AE6726">
              <w:rPr>
                <w:rFonts w:cs="Calibri"/>
                <w:color w:val="000000"/>
              </w:rPr>
              <w:lastRenderedPageBreak/>
              <w:t>- Une cartographie des besoins des femmes et jeunes filles cibles</w:t>
            </w:r>
          </w:p>
          <w:p w14:paraId="36B41359" w14:textId="77777777" w:rsidR="000F28A0" w:rsidRPr="00AE6726" w:rsidRDefault="000F28A0" w:rsidP="00AF0ED1">
            <w:pPr>
              <w:tabs>
                <w:tab w:val="center" w:pos="4320"/>
                <w:tab w:val="right" w:pos="8640"/>
              </w:tabs>
              <w:rPr>
                <w:rFonts w:eastAsia="Times New Roman" w:cs="Calibri"/>
                <w:b/>
                <w:bCs/>
                <w:color w:val="000000"/>
                <w:spacing w:val="-3"/>
                <w:lang w:eastAsia="en-GB"/>
              </w:rPr>
            </w:pPr>
            <w:r w:rsidRPr="00AE6726">
              <w:rPr>
                <w:rFonts w:cs="Calibri"/>
                <w:color w:val="000000"/>
              </w:rPr>
              <w:t>- Une cartographie des projets innovants existants et des sources de financements ou partenaires à mobiliser dans la zone étudiée.</w:t>
            </w:r>
          </w:p>
          <w:p w14:paraId="35570603" w14:textId="77777777" w:rsidR="000F28A0" w:rsidRPr="00AE6726" w:rsidRDefault="000F28A0" w:rsidP="00AF0ED1">
            <w:pPr>
              <w:tabs>
                <w:tab w:val="center" w:pos="4320"/>
                <w:tab w:val="right" w:pos="8640"/>
              </w:tabs>
              <w:rPr>
                <w:rFonts w:cs="Calibri"/>
                <w:color w:val="000000"/>
              </w:rPr>
            </w:pPr>
          </w:p>
          <w:p w14:paraId="668E8245" w14:textId="77777777" w:rsidR="000F28A0" w:rsidRPr="00AE6726" w:rsidRDefault="000F28A0" w:rsidP="00AF0ED1">
            <w:pPr>
              <w:tabs>
                <w:tab w:val="center" w:pos="4320"/>
                <w:tab w:val="right" w:pos="8640"/>
              </w:tabs>
              <w:rPr>
                <w:rStyle w:val="jlqj4b"/>
                <w:rFonts w:cs="Calibri"/>
                <w:color w:val="000000"/>
              </w:rPr>
            </w:pPr>
            <w:r w:rsidRPr="00AE6726">
              <w:rPr>
                <w:rFonts w:cs="Calibri"/>
                <w:color w:val="000000"/>
              </w:rPr>
              <w:t>- Les rapports des ateliers decoconstruction de l’étude conformément au descriptif des services et résultats attendusavec l’identification détaillée de la population cible catégorisés</w:t>
            </w:r>
          </w:p>
          <w:p w14:paraId="04288176" w14:textId="77777777" w:rsidR="000F28A0" w:rsidRPr="00AE6726" w:rsidRDefault="000F28A0" w:rsidP="00AF0ED1">
            <w:pPr>
              <w:rPr>
                <w:rFonts w:eastAsia="Times New Roman" w:cs="Calibri"/>
                <w:b/>
                <w:bCs/>
                <w:color w:val="000000"/>
                <w:spacing w:val="-3"/>
                <w:lang w:eastAsia="en-GB"/>
              </w:rPr>
            </w:pPr>
            <w:r w:rsidRPr="00AE6726">
              <w:rPr>
                <w:rFonts w:cs="Calibri"/>
                <w:color w:val="000000"/>
              </w:rPr>
              <w:t xml:space="preserve">- Un plan d’action de renforcement des capacités des parties prenantes spécifiées au point précédent (point 9) dans les 7 communes du Sud de la Tunisie favorisant la cohésion sociale, le développement économique et la consolidation de la paix </w:t>
            </w:r>
          </w:p>
          <w:p w14:paraId="20FB5107" w14:textId="77777777" w:rsidR="000F28A0" w:rsidRPr="00AE6726" w:rsidRDefault="000F28A0" w:rsidP="00AF0ED1">
            <w:pPr>
              <w:rPr>
                <w:rFonts w:eastAsia="Times New Roman" w:cs="Calibri"/>
                <w:bCs/>
                <w:color w:val="000000"/>
                <w:spacing w:val="-3"/>
                <w:lang w:bidi="fr-FR"/>
              </w:rPr>
            </w:pPr>
            <w:r w:rsidRPr="00AE6726">
              <w:rPr>
                <w:rFonts w:eastAsia="Times New Roman" w:cs="Calibri"/>
                <w:b/>
                <w:bCs/>
                <w:color w:val="000000"/>
                <w:spacing w:val="-3"/>
                <w:lang w:eastAsia="en-GB"/>
              </w:rPr>
              <w:t>- L</w:t>
            </w:r>
            <w:r w:rsidRPr="00AE6726">
              <w:rPr>
                <w:rFonts w:cs="Calibri"/>
                <w:color w:val="000000"/>
              </w:rPr>
              <w:t>es outils de renforcement de ces capacités au profit des parties prenantes concernées</w:t>
            </w:r>
          </w:p>
          <w:p w14:paraId="6460461E" w14:textId="77777777" w:rsidR="000F28A0" w:rsidRPr="00AE6726" w:rsidRDefault="000F28A0" w:rsidP="00AF0ED1">
            <w:pPr>
              <w:tabs>
                <w:tab w:val="center" w:pos="4320"/>
                <w:tab w:val="right" w:pos="8640"/>
              </w:tabs>
              <w:rPr>
                <w:rFonts w:eastAsia="Times New Roman" w:cs="Calibri"/>
                <w:bCs/>
                <w:color w:val="000000"/>
                <w:spacing w:val="-3"/>
                <w:lang w:bidi="fr-FR"/>
              </w:rPr>
            </w:pPr>
            <w:r w:rsidRPr="00AE6726">
              <w:rPr>
                <w:rFonts w:eastAsia="Times New Roman" w:cs="Calibri"/>
                <w:bCs/>
                <w:color w:val="000000"/>
                <w:spacing w:val="-3"/>
                <w:lang w:bidi="fr-FR"/>
              </w:rPr>
              <w:t>- Document Powerpoint à présenter lors de la</w:t>
            </w:r>
          </w:p>
          <w:p w14:paraId="5C6EDF2A" w14:textId="77777777" w:rsidR="000F28A0" w:rsidRDefault="000F28A0" w:rsidP="00AF0ED1">
            <w:pPr>
              <w:tabs>
                <w:tab w:val="center" w:pos="4320"/>
                <w:tab w:val="right" w:pos="8640"/>
              </w:tabs>
              <w:rPr>
                <w:rFonts w:eastAsia="Times New Roman" w:cs="Calibri"/>
                <w:bCs/>
                <w:color w:val="000000"/>
                <w:spacing w:val="-3"/>
                <w:lang w:bidi="fr-FR"/>
              </w:rPr>
            </w:pPr>
            <w:r w:rsidRPr="00AE6726">
              <w:rPr>
                <w:rFonts w:eastAsia="Times New Roman" w:cs="Calibri"/>
                <w:bCs/>
                <w:color w:val="000000"/>
                <w:spacing w:val="-3"/>
                <w:lang w:bidi="fr-FR"/>
              </w:rPr>
              <w:t>réunion de restitution du rapport intermédiaire d’étape</w:t>
            </w:r>
          </w:p>
          <w:p w14:paraId="2474282C" w14:textId="77777777" w:rsidR="000F28A0" w:rsidRPr="00AE6726" w:rsidRDefault="000F28A0" w:rsidP="00AF0ED1">
            <w:pPr>
              <w:tabs>
                <w:tab w:val="center" w:pos="4320"/>
                <w:tab w:val="right" w:pos="8640"/>
              </w:tabs>
              <w:rPr>
                <w:rFonts w:eastAsia="Times New Roman" w:cs="Calibri"/>
                <w:bCs/>
                <w:color w:val="000000"/>
                <w:spacing w:val="-3"/>
                <w:lang w:bidi="fr-FR"/>
              </w:rPr>
            </w:pPr>
            <w:r w:rsidRPr="00AE6726">
              <w:rPr>
                <w:rFonts w:eastAsia="Times New Roman" w:cs="Calibri"/>
                <w:bCs/>
                <w:color w:val="000000"/>
                <w:spacing w:val="-3"/>
                <w:lang w:bidi="fr-FR"/>
              </w:rPr>
              <w:t>- Compte rendu de la réunion de restitution prenant en compte les observations et commentaires des participants</w:t>
            </w:r>
          </w:p>
          <w:p w14:paraId="1735F8A1" w14:textId="77777777" w:rsidR="000F28A0" w:rsidRDefault="000F28A0" w:rsidP="00AF0ED1">
            <w:pPr>
              <w:jc w:val="both"/>
              <w:rPr>
                <w:rFonts w:eastAsia="Times New Roman" w:cs="Calibri"/>
                <w:b/>
                <w:bCs/>
                <w:color w:val="000000"/>
                <w:spacing w:val="-3"/>
                <w:lang w:bidi="fr-FR"/>
              </w:rPr>
            </w:pPr>
          </w:p>
          <w:p w14:paraId="0C8FE766" w14:textId="77777777" w:rsidR="000F28A0" w:rsidRDefault="000F28A0" w:rsidP="00AF0ED1">
            <w:pPr>
              <w:jc w:val="both"/>
              <w:rPr>
                <w:rFonts w:eastAsia="Times New Roman" w:cs="Calibri"/>
                <w:b/>
                <w:bCs/>
                <w:color w:val="000000"/>
                <w:spacing w:val="-3"/>
                <w:lang w:bidi="fr-FR"/>
              </w:rPr>
            </w:pPr>
            <w:r w:rsidRPr="00AE6726">
              <w:rPr>
                <w:rFonts w:eastAsia="Times New Roman" w:cs="Calibri"/>
                <w:b/>
                <w:bCs/>
                <w:color w:val="000000"/>
                <w:spacing w:val="-3"/>
                <w:lang w:bidi="fr-FR"/>
              </w:rPr>
              <w:t>Rapport intermédiaire d’étape</w:t>
            </w:r>
          </w:p>
          <w:p w14:paraId="07ACDC4C" w14:textId="77777777" w:rsidR="000F28A0" w:rsidRPr="00E568DD" w:rsidDel="005962DA" w:rsidRDefault="000F28A0" w:rsidP="00AF0ED1">
            <w:pPr>
              <w:jc w:val="both"/>
              <w:rPr>
                <w:i/>
                <w:color w:val="0070C0"/>
                <w:sz w:val="20"/>
                <w:szCs w:val="20"/>
              </w:rPr>
            </w:pPr>
          </w:p>
        </w:tc>
        <w:tc>
          <w:tcPr>
            <w:tcW w:w="992" w:type="dxa"/>
          </w:tcPr>
          <w:p w14:paraId="0D8BF17B" w14:textId="77777777" w:rsidR="000F28A0" w:rsidRPr="00E568DD" w:rsidRDefault="000F28A0" w:rsidP="00AF0ED1">
            <w:pPr>
              <w:jc w:val="center"/>
              <w:rPr>
                <w:i/>
                <w:color w:val="538135" w:themeColor="accent6" w:themeShade="BF"/>
                <w:sz w:val="20"/>
                <w:szCs w:val="20"/>
                <w:lang w:val="en-GB"/>
              </w:rPr>
            </w:pPr>
            <w:r>
              <w:rPr>
                <w:i/>
                <w:color w:val="538135" w:themeColor="accent6" w:themeShade="BF"/>
                <w:sz w:val="20"/>
                <w:szCs w:val="20"/>
                <w:lang w:val="en-GB"/>
              </w:rPr>
              <w:lastRenderedPageBreak/>
              <w:t>60</w:t>
            </w:r>
            <w:r w:rsidRPr="00E568DD">
              <w:rPr>
                <w:i/>
                <w:color w:val="538135" w:themeColor="accent6" w:themeShade="BF"/>
                <w:sz w:val="20"/>
                <w:szCs w:val="20"/>
                <w:lang w:val="en-GB"/>
              </w:rPr>
              <w:t>%</w:t>
            </w:r>
          </w:p>
        </w:tc>
        <w:tc>
          <w:tcPr>
            <w:tcW w:w="1134" w:type="dxa"/>
          </w:tcPr>
          <w:p w14:paraId="4CBBB30E" w14:textId="77777777" w:rsidR="000F28A0" w:rsidRPr="00E568DD" w:rsidDel="00FF301A" w:rsidRDefault="000F28A0" w:rsidP="00AF0ED1">
            <w:pPr>
              <w:jc w:val="center"/>
              <w:rPr>
                <w:i/>
                <w:color w:val="538135" w:themeColor="accent6" w:themeShade="BF"/>
                <w:sz w:val="20"/>
                <w:szCs w:val="20"/>
                <w:lang w:val="en-GB"/>
              </w:rPr>
            </w:pPr>
            <w:r>
              <w:rPr>
                <w:i/>
                <w:color w:val="538135" w:themeColor="accent6" w:themeShade="BF"/>
                <w:sz w:val="20"/>
                <w:szCs w:val="20"/>
                <w:lang w:val="en-GB"/>
              </w:rPr>
              <w:t>T0 + 45 j</w:t>
            </w:r>
          </w:p>
        </w:tc>
      </w:tr>
      <w:tr w:rsidR="000F28A0" w:rsidRPr="00D96C2E" w14:paraId="0AA726EA" w14:textId="77777777" w:rsidTr="00AF0ED1">
        <w:trPr>
          <w:trHeight w:val="287"/>
        </w:trPr>
        <w:tc>
          <w:tcPr>
            <w:tcW w:w="2410" w:type="dxa"/>
          </w:tcPr>
          <w:p w14:paraId="0866DB62" w14:textId="77777777" w:rsidR="000F28A0" w:rsidRPr="007F7566" w:rsidRDefault="000F28A0" w:rsidP="00AF0ED1">
            <w:pPr>
              <w:jc w:val="both"/>
              <w:rPr>
                <w:rFonts w:eastAsia="Times New Roman" w:cs="Calibri"/>
                <w:bCs/>
                <w:color w:val="000000"/>
                <w:spacing w:val="-3"/>
                <w:lang w:bidi="fr-FR"/>
              </w:rPr>
            </w:pPr>
            <w:r>
              <w:rPr>
                <w:rFonts w:eastAsia="Times New Roman" w:cs="Calibri"/>
                <w:bCs/>
                <w:color w:val="000000"/>
                <w:spacing w:val="-3"/>
                <w:lang w:bidi="fr-FR"/>
              </w:rPr>
              <w:t>Phase de consolidation des travaux et communication</w:t>
            </w:r>
          </w:p>
        </w:tc>
        <w:tc>
          <w:tcPr>
            <w:tcW w:w="4536" w:type="dxa"/>
          </w:tcPr>
          <w:p w14:paraId="6CFAF9F1" w14:textId="77777777" w:rsidR="000F28A0" w:rsidRPr="00036F04" w:rsidRDefault="000F28A0" w:rsidP="00AF0ED1">
            <w:pPr>
              <w:tabs>
                <w:tab w:val="center" w:pos="4320"/>
                <w:tab w:val="right" w:pos="8640"/>
              </w:tabs>
              <w:jc w:val="both"/>
              <w:rPr>
                <w:rFonts w:eastAsia="Times New Roman" w:cs="Calibri"/>
                <w:b/>
                <w:spacing w:val="-3"/>
                <w:lang w:bidi="fr-FR"/>
              </w:rPr>
            </w:pPr>
            <w:r w:rsidRPr="00036F04">
              <w:rPr>
                <w:rFonts w:eastAsia="Times New Roman" w:cs="Calibri"/>
                <w:b/>
                <w:spacing w:val="-3"/>
                <w:lang w:bidi="fr-FR"/>
              </w:rPr>
              <w:t>Une version finale du rapport en tenant en compte de toutes les corrections recommandées et de la collecte complémentaire</w:t>
            </w:r>
            <w:r>
              <w:rPr>
                <w:rFonts w:eastAsia="Times New Roman" w:cs="Calibri"/>
                <w:b/>
                <w:spacing w:val="-3"/>
                <w:lang w:bidi="fr-FR"/>
              </w:rPr>
              <w:t xml:space="preserve"> avec :</w:t>
            </w:r>
          </w:p>
          <w:p w14:paraId="73538D5B" w14:textId="77777777" w:rsidR="000F28A0" w:rsidRPr="00AE6726" w:rsidRDefault="000F28A0" w:rsidP="00AF0ED1">
            <w:pPr>
              <w:tabs>
                <w:tab w:val="center" w:pos="4320"/>
                <w:tab w:val="right" w:pos="8640"/>
              </w:tabs>
              <w:jc w:val="both"/>
              <w:rPr>
                <w:rFonts w:eastAsia="Times New Roman" w:cs="Calibri"/>
                <w:bCs/>
                <w:color w:val="000000"/>
                <w:spacing w:val="-3"/>
                <w:lang w:bidi="fr-FR"/>
              </w:rPr>
            </w:pPr>
            <w:r w:rsidRPr="00AE6726">
              <w:rPr>
                <w:rFonts w:eastAsia="Times New Roman" w:cs="Calibri"/>
                <w:bCs/>
                <w:color w:val="000000"/>
                <w:spacing w:val="-3"/>
                <w:lang w:bidi="fr-FR"/>
              </w:rPr>
              <w:t>- Note de suivi des corrections</w:t>
            </w:r>
          </w:p>
          <w:p w14:paraId="6762D12B" w14:textId="77777777" w:rsidR="000F28A0" w:rsidRDefault="000F28A0" w:rsidP="00AF0ED1">
            <w:pPr>
              <w:tabs>
                <w:tab w:val="center" w:pos="4320"/>
                <w:tab w:val="right" w:pos="8640"/>
              </w:tabs>
              <w:jc w:val="both"/>
              <w:rPr>
                <w:rFonts w:eastAsia="Times New Roman" w:cs="Calibri"/>
                <w:bCs/>
                <w:color w:val="000000"/>
                <w:spacing w:val="-3"/>
                <w:lang w:bidi="fr-FR"/>
              </w:rPr>
            </w:pPr>
            <w:r w:rsidRPr="00AE6726">
              <w:rPr>
                <w:rFonts w:eastAsia="Times New Roman" w:cs="Calibri"/>
                <w:bCs/>
                <w:color w:val="000000"/>
                <w:spacing w:val="-3"/>
                <w:lang w:bidi="fr-FR"/>
              </w:rPr>
              <w:t xml:space="preserve">- Un support de présentation sur PowerPoint </w:t>
            </w:r>
            <w:r>
              <w:rPr>
                <w:rFonts w:eastAsia="Times New Roman" w:cs="Calibri"/>
                <w:bCs/>
                <w:color w:val="000000"/>
                <w:spacing w:val="-3"/>
                <w:lang w:bidi="fr-FR"/>
              </w:rPr>
              <w:t xml:space="preserve">avec </w:t>
            </w:r>
            <w:r w:rsidRPr="00AE6726">
              <w:rPr>
                <w:rFonts w:eastAsia="Times New Roman" w:cs="Calibri"/>
                <w:bCs/>
                <w:color w:val="000000"/>
                <w:spacing w:val="-3"/>
                <w:lang w:bidi="fr-FR"/>
              </w:rPr>
              <w:t xml:space="preserve">les résultats </w:t>
            </w:r>
            <w:r>
              <w:rPr>
                <w:rFonts w:eastAsia="Times New Roman" w:cs="Calibri"/>
                <w:bCs/>
                <w:color w:val="000000"/>
                <w:spacing w:val="-3"/>
                <w:lang w:bidi="fr-FR"/>
              </w:rPr>
              <w:t xml:space="preserve">et recommandations </w:t>
            </w:r>
            <w:r w:rsidRPr="00AE6726">
              <w:rPr>
                <w:rFonts w:eastAsia="Times New Roman" w:cs="Calibri"/>
                <w:bCs/>
                <w:color w:val="000000"/>
                <w:spacing w:val="-3"/>
                <w:lang w:bidi="fr-FR"/>
              </w:rPr>
              <w:t xml:space="preserve">de l’étude </w:t>
            </w:r>
          </w:p>
          <w:p w14:paraId="54FF5B3A" w14:textId="77777777" w:rsidR="000F28A0" w:rsidRDefault="000F28A0" w:rsidP="00AF0ED1">
            <w:pPr>
              <w:jc w:val="both"/>
              <w:rPr>
                <w:rFonts w:eastAsia="Times New Roman" w:cs="Calibri"/>
                <w:bCs/>
                <w:color w:val="000000"/>
                <w:spacing w:val="-3"/>
                <w:lang w:bidi="fr-FR"/>
              </w:rPr>
            </w:pPr>
            <w:r>
              <w:rPr>
                <w:rFonts w:eastAsia="Times New Roman" w:cs="Calibri"/>
                <w:bCs/>
                <w:color w:val="000000"/>
                <w:spacing w:val="-3"/>
                <w:lang w:bidi="fr-FR"/>
              </w:rPr>
              <w:t>- Résumé exécutif de cinq pages (dûment relu et prêt à la diffusion)</w:t>
            </w:r>
          </w:p>
          <w:p w14:paraId="635B9C88" w14:textId="77777777" w:rsidR="000F28A0" w:rsidRDefault="000F28A0" w:rsidP="00AF0ED1">
            <w:pPr>
              <w:jc w:val="both"/>
              <w:rPr>
                <w:rFonts w:eastAsia="Times New Roman" w:cs="Calibri"/>
                <w:bCs/>
                <w:color w:val="000000"/>
                <w:spacing w:val="-3"/>
                <w:lang w:bidi="fr-FR"/>
              </w:rPr>
            </w:pPr>
          </w:p>
          <w:p w14:paraId="4C90ECCA" w14:textId="77777777" w:rsidR="000F28A0" w:rsidRPr="00590CF8" w:rsidRDefault="000F28A0" w:rsidP="00AF0ED1">
            <w:pPr>
              <w:jc w:val="both"/>
              <w:rPr>
                <w:b/>
                <w:i/>
                <w:color w:val="0070C0"/>
                <w:sz w:val="20"/>
                <w:szCs w:val="20"/>
                <w:lang w:val="fr-FR"/>
              </w:rPr>
            </w:pPr>
            <w:r w:rsidRPr="00036F04">
              <w:rPr>
                <w:rFonts w:eastAsia="Times New Roman" w:cs="Calibri"/>
                <w:b/>
                <w:color w:val="000000"/>
                <w:spacing w:val="-3"/>
                <w:lang w:bidi="fr-FR"/>
              </w:rPr>
              <w:t>Rapport et tous les documents en version finale validée</w:t>
            </w:r>
          </w:p>
        </w:tc>
        <w:tc>
          <w:tcPr>
            <w:tcW w:w="992" w:type="dxa"/>
          </w:tcPr>
          <w:p w14:paraId="6ED8E3FC" w14:textId="77777777" w:rsidR="000F28A0" w:rsidRPr="00036F04" w:rsidRDefault="000F28A0" w:rsidP="00AF0ED1">
            <w:pPr>
              <w:jc w:val="center"/>
              <w:rPr>
                <w:i/>
                <w:color w:val="538135" w:themeColor="accent6" w:themeShade="BF"/>
                <w:sz w:val="20"/>
                <w:szCs w:val="20"/>
                <w:lang w:val="en-GB"/>
              </w:rPr>
            </w:pPr>
            <w:r w:rsidRPr="00036F04">
              <w:rPr>
                <w:i/>
                <w:color w:val="538135" w:themeColor="accent6" w:themeShade="BF"/>
                <w:sz w:val="20"/>
                <w:szCs w:val="20"/>
                <w:lang w:val="en-GB"/>
              </w:rPr>
              <w:t>30%</w:t>
            </w:r>
          </w:p>
        </w:tc>
        <w:tc>
          <w:tcPr>
            <w:tcW w:w="1134" w:type="dxa"/>
          </w:tcPr>
          <w:p w14:paraId="11AF3C40" w14:textId="77777777" w:rsidR="000F28A0" w:rsidRPr="00036F04" w:rsidRDefault="000F28A0" w:rsidP="00AF0ED1">
            <w:pPr>
              <w:jc w:val="center"/>
              <w:rPr>
                <w:i/>
                <w:color w:val="538135" w:themeColor="accent6" w:themeShade="BF"/>
                <w:sz w:val="20"/>
                <w:szCs w:val="20"/>
                <w:lang w:val="en-GB"/>
              </w:rPr>
            </w:pPr>
            <w:r w:rsidRPr="00036F04">
              <w:rPr>
                <w:i/>
                <w:color w:val="538135" w:themeColor="accent6" w:themeShade="BF"/>
                <w:sz w:val="20"/>
                <w:szCs w:val="20"/>
                <w:lang w:val="en-GB"/>
              </w:rPr>
              <w:t>T0 + 60j</w:t>
            </w:r>
          </w:p>
        </w:tc>
      </w:tr>
      <w:tr w:rsidR="000F28A0" w:rsidRPr="00D96C2E" w14:paraId="48D86A41" w14:textId="77777777" w:rsidTr="00AF0ED1">
        <w:trPr>
          <w:trHeight w:val="287"/>
        </w:trPr>
        <w:tc>
          <w:tcPr>
            <w:tcW w:w="9072" w:type="dxa"/>
            <w:gridSpan w:val="4"/>
          </w:tcPr>
          <w:p w14:paraId="498C934F" w14:textId="77777777" w:rsidR="000F28A0" w:rsidRPr="00F04596" w:rsidRDefault="000F28A0" w:rsidP="00AF0ED1">
            <w:pPr>
              <w:rPr>
                <w:rFonts w:cs="Calibri"/>
                <w:b/>
                <w:bCs/>
                <w:i/>
                <w:iCs/>
                <w:color w:val="000000"/>
                <w:spacing w:val="-2"/>
                <w:sz w:val="18"/>
                <w:szCs w:val="18"/>
                <w:lang w:bidi="fr-FR"/>
              </w:rPr>
            </w:pPr>
          </w:p>
          <w:p w14:paraId="30FC0F4C" w14:textId="77777777" w:rsidR="000F28A0" w:rsidRPr="00F04596" w:rsidRDefault="000F28A0" w:rsidP="00AF0ED1">
            <w:pPr>
              <w:rPr>
                <w:rFonts w:cs="Calibri"/>
                <w:b/>
                <w:bCs/>
                <w:i/>
                <w:iCs/>
                <w:color w:val="000000"/>
                <w:spacing w:val="-2"/>
                <w:sz w:val="18"/>
                <w:szCs w:val="18"/>
                <w:lang w:bidi="fr-FR"/>
              </w:rPr>
            </w:pPr>
            <w:r w:rsidRPr="00F04596">
              <w:rPr>
                <w:rFonts w:cs="Calibri"/>
                <w:b/>
                <w:bCs/>
                <w:i/>
                <w:iCs/>
                <w:color w:val="000000"/>
                <w:spacing w:val="-2"/>
                <w:sz w:val="18"/>
                <w:szCs w:val="18"/>
                <w:lang w:bidi="fr-FR"/>
              </w:rPr>
              <w:t xml:space="preserve">NB. Tous les livrables produits dans le cadre de </w:t>
            </w:r>
            <w:r>
              <w:rPr>
                <w:rFonts w:cs="Calibri"/>
                <w:b/>
                <w:bCs/>
                <w:i/>
                <w:iCs/>
                <w:color w:val="000000"/>
                <w:spacing w:val="-2"/>
                <w:sz w:val="18"/>
                <w:szCs w:val="18"/>
                <w:lang w:bidi="fr-FR"/>
              </w:rPr>
              <w:t>cette demande de propositions</w:t>
            </w:r>
            <w:r w:rsidRPr="00F04596">
              <w:rPr>
                <w:rFonts w:cs="Calibri"/>
                <w:b/>
                <w:bCs/>
                <w:i/>
                <w:iCs/>
                <w:color w:val="000000"/>
                <w:spacing w:val="-2"/>
                <w:sz w:val="18"/>
                <w:szCs w:val="18"/>
                <w:lang w:bidi="fr-FR"/>
              </w:rPr>
              <w:t xml:space="preserve"> relatifs à la démarche, collecte de données, documents provisoires et livrables finaux sont la propriété intellectuelle exclusive d’ONU Femmes. </w:t>
            </w:r>
          </w:p>
          <w:p w14:paraId="50E3A908" w14:textId="77777777" w:rsidR="000F28A0" w:rsidRPr="00590CF8" w:rsidRDefault="000F28A0" w:rsidP="00AF0ED1">
            <w:pPr>
              <w:jc w:val="center"/>
              <w:rPr>
                <w:i/>
                <w:color w:val="538135" w:themeColor="accent6" w:themeShade="BF"/>
                <w:sz w:val="20"/>
                <w:szCs w:val="20"/>
                <w:lang w:val="fr-FR"/>
              </w:rPr>
            </w:pPr>
          </w:p>
        </w:tc>
      </w:tr>
    </w:tbl>
    <w:p w14:paraId="31710AFE" w14:textId="77777777" w:rsidR="000F28A0" w:rsidRPr="00590CF8" w:rsidRDefault="000F28A0" w:rsidP="000F28A0">
      <w:pPr>
        <w:spacing w:line="240" w:lineRule="auto"/>
        <w:rPr>
          <w:rFonts w:cs="Arial"/>
          <w:b/>
          <w:bCs/>
          <w:sz w:val="20"/>
          <w:szCs w:val="20"/>
          <w:lang w:val="fr-FR"/>
        </w:rPr>
      </w:pPr>
      <w:r w:rsidRPr="00590CF8">
        <w:rPr>
          <w:rFonts w:cs="Arial"/>
          <w:b/>
          <w:bCs/>
          <w:sz w:val="20"/>
          <w:szCs w:val="20"/>
          <w:lang w:val="fr-FR"/>
        </w:rPr>
        <w:t xml:space="preserve"> </w:t>
      </w:r>
    </w:p>
    <w:p w14:paraId="58BF81C5" w14:textId="77777777" w:rsidR="000F28A0" w:rsidRPr="00590CF8" w:rsidRDefault="000F28A0" w:rsidP="000F28A0">
      <w:pPr>
        <w:pStyle w:val="ListParagraph"/>
        <w:numPr>
          <w:ilvl w:val="0"/>
          <w:numId w:val="1"/>
        </w:numPr>
        <w:contextualSpacing/>
        <w:jc w:val="both"/>
        <w:rPr>
          <w:rFonts w:asciiTheme="minorHAnsi" w:hAnsiTheme="minorHAnsi" w:cstheme="minorHAnsi"/>
          <w:b/>
          <w:bCs/>
          <w:color w:val="000000"/>
          <w:spacing w:val="-3"/>
          <w:sz w:val="26"/>
          <w:szCs w:val="26"/>
          <w:lang w:val="fr-FR" w:bidi="fr-FR"/>
        </w:rPr>
      </w:pPr>
      <w:r w:rsidRPr="00590CF8">
        <w:rPr>
          <w:rFonts w:asciiTheme="minorHAnsi" w:hAnsiTheme="minorHAnsi" w:cstheme="minorHAnsi"/>
          <w:b/>
          <w:bCs/>
          <w:color w:val="000000"/>
          <w:spacing w:val="-3"/>
          <w:sz w:val="26"/>
          <w:szCs w:val="26"/>
          <w:lang w:val="fr-FR" w:bidi="fr-FR"/>
        </w:rPr>
        <w:t xml:space="preserve">Compétences Requises des membres de </w:t>
      </w:r>
      <w:proofErr w:type="gramStart"/>
      <w:r w:rsidRPr="00590CF8">
        <w:rPr>
          <w:rFonts w:asciiTheme="minorHAnsi" w:hAnsiTheme="minorHAnsi" w:cstheme="minorHAnsi"/>
          <w:b/>
          <w:bCs/>
          <w:color w:val="000000"/>
          <w:spacing w:val="-3"/>
          <w:sz w:val="26"/>
          <w:szCs w:val="26"/>
          <w:lang w:val="fr-FR" w:bidi="fr-FR"/>
        </w:rPr>
        <w:t>l’équipe:</w:t>
      </w:r>
      <w:proofErr w:type="gramEnd"/>
    </w:p>
    <w:p w14:paraId="45E2580E" w14:textId="77777777" w:rsidR="000F28A0" w:rsidRDefault="000F28A0" w:rsidP="000F28A0">
      <w:pPr>
        <w:spacing w:after="0" w:line="240" w:lineRule="auto"/>
        <w:rPr>
          <w:rFonts w:eastAsia="Times New Roman" w:cstheme="minorHAnsi"/>
          <w:b/>
          <w:bCs/>
          <w:color w:val="000000"/>
          <w:spacing w:val="-3"/>
          <w:sz w:val="26"/>
          <w:szCs w:val="26"/>
          <w:lang w:eastAsia="en-US" w:bidi="fr-FR"/>
        </w:rPr>
      </w:pPr>
    </w:p>
    <w:p w14:paraId="1758E3BC" w14:textId="77777777" w:rsidR="000F28A0" w:rsidRPr="00590CF8" w:rsidRDefault="000F28A0" w:rsidP="000F28A0">
      <w:pPr>
        <w:spacing w:after="0" w:line="240" w:lineRule="auto"/>
        <w:rPr>
          <w:rFonts w:eastAsia="Times New Roman" w:cs="Times New Roman"/>
          <w:b/>
          <w:lang w:val="fr-FR" w:eastAsia="fr-FR"/>
        </w:rPr>
      </w:pPr>
      <w:r w:rsidRPr="00036F04">
        <w:rPr>
          <w:rFonts w:eastAsia="Times New Roman" w:cstheme="minorHAnsi"/>
          <w:b/>
          <w:bCs/>
          <w:color w:val="000000"/>
          <w:spacing w:val="-3"/>
          <w:sz w:val="26"/>
          <w:szCs w:val="26"/>
          <w:lang w:eastAsia="en-US" w:bidi="fr-FR"/>
        </w:rPr>
        <w:t xml:space="preserve">Valeurs fondamentales </w:t>
      </w:r>
      <w:r>
        <w:rPr>
          <w:rFonts w:cstheme="minorHAnsi"/>
          <w:b/>
          <w:bCs/>
          <w:color w:val="000000"/>
          <w:spacing w:val="-3"/>
          <w:sz w:val="26"/>
          <w:szCs w:val="26"/>
          <w:lang w:bidi="fr-FR"/>
        </w:rPr>
        <w:t>&amp;</w:t>
      </w:r>
      <w:r w:rsidRPr="00036F04">
        <w:rPr>
          <w:rFonts w:eastAsia="Times New Roman" w:cstheme="minorHAnsi"/>
          <w:b/>
          <w:bCs/>
          <w:color w:val="000000"/>
          <w:spacing w:val="-3"/>
          <w:sz w:val="26"/>
          <w:szCs w:val="26"/>
          <w:lang w:eastAsia="en-US" w:bidi="fr-FR"/>
        </w:rPr>
        <w:t xml:space="preserve"> Principes directeurs </w:t>
      </w:r>
    </w:p>
    <w:p w14:paraId="4825642F" w14:textId="77777777" w:rsidR="000F28A0" w:rsidRPr="00AE6726" w:rsidRDefault="000F28A0" w:rsidP="000F28A0">
      <w:pPr>
        <w:spacing w:after="0" w:line="240" w:lineRule="auto"/>
        <w:rPr>
          <w:rFonts w:eastAsia="Times New Roman" w:cs="Times New Roman"/>
          <w:b/>
          <w:lang w:eastAsia="fr-FR"/>
        </w:rPr>
      </w:pPr>
      <w:r w:rsidRPr="00AE6726">
        <w:rPr>
          <w:rFonts w:eastAsia="Times New Roman" w:cs="Times New Roman"/>
          <w:b/>
          <w:lang w:eastAsia="fr-FR"/>
        </w:rPr>
        <w:t>Intégrité :</w:t>
      </w:r>
    </w:p>
    <w:p w14:paraId="5D814473" w14:textId="77777777" w:rsidR="000F28A0" w:rsidRPr="00AE6726" w:rsidRDefault="000F28A0" w:rsidP="000F28A0">
      <w:pPr>
        <w:numPr>
          <w:ilvl w:val="0"/>
          <w:numId w:val="7"/>
        </w:numPr>
        <w:spacing w:after="0" w:line="240" w:lineRule="auto"/>
        <w:jc w:val="both"/>
        <w:rPr>
          <w:rFonts w:eastAsia="Times New Roman" w:cs="Times New Roman"/>
          <w:lang w:eastAsia="fr-FR"/>
        </w:rPr>
      </w:pPr>
      <w:r w:rsidRPr="00AE6726">
        <w:rPr>
          <w:rFonts w:eastAsia="Times New Roman" w:cs="Times New Roman"/>
          <w:lang w:eastAsia="fr-FR"/>
        </w:rPr>
        <w:lastRenderedPageBreak/>
        <w:t>Faire preuve de cohérence dans la défense et la promotion des valeurs d'ONU Femmes dans les actions et les décisions, conformément au Code de conduite des Nations Unies.</w:t>
      </w:r>
    </w:p>
    <w:p w14:paraId="432BE6C3" w14:textId="77777777" w:rsidR="000F28A0" w:rsidRPr="00AE6726" w:rsidRDefault="000F28A0" w:rsidP="000F28A0">
      <w:pPr>
        <w:spacing w:after="0" w:line="240" w:lineRule="auto"/>
        <w:jc w:val="both"/>
        <w:rPr>
          <w:rFonts w:eastAsia="Times New Roman" w:cs="Times New Roman"/>
          <w:b/>
          <w:lang w:eastAsia="fr-FR"/>
        </w:rPr>
      </w:pPr>
      <w:r w:rsidRPr="00AE6726">
        <w:rPr>
          <w:rFonts w:eastAsia="Times New Roman" w:cs="Times New Roman"/>
          <w:b/>
          <w:lang w:eastAsia="fr-FR"/>
        </w:rPr>
        <w:t>Professionnalisme :</w:t>
      </w:r>
    </w:p>
    <w:p w14:paraId="0640B1C4" w14:textId="77777777" w:rsidR="000F28A0" w:rsidRPr="00AE6726" w:rsidRDefault="000F28A0" w:rsidP="000F28A0">
      <w:pPr>
        <w:numPr>
          <w:ilvl w:val="0"/>
          <w:numId w:val="7"/>
        </w:numPr>
        <w:spacing w:after="0" w:line="240" w:lineRule="auto"/>
        <w:jc w:val="both"/>
        <w:rPr>
          <w:rFonts w:eastAsia="Times New Roman" w:cs="Times New Roman"/>
          <w:lang w:eastAsia="fr-FR"/>
        </w:rPr>
      </w:pPr>
      <w:r w:rsidRPr="00AE6726">
        <w:rPr>
          <w:rFonts w:eastAsia="Times New Roman" w:cs="Times New Roman"/>
          <w:lang w:eastAsia="fr-FR"/>
        </w:rPr>
        <w:t>Démontrer une compétence professionnelle et une connaissance experte des domaines de travail pertinents.</w:t>
      </w:r>
    </w:p>
    <w:p w14:paraId="7AF06765" w14:textId="77777777" w:rsidR="000F28A0" w:rsidRPr="00AE6726" w:rsidRDefault="000F28A0" w:rsidP="000F28A0">
      <w:pPr>
        <w:numPr>
          <w:ilvl w:val="0"/>
          <w:numId w:val="7"/>
        </w:numPr>
        <w:spacing w:before="100" w:beforeAutospacing="1" w:after="100" w:afterAutospacing="1" w:line="240" w:lineRule="auto"/>
        <w:jc w:val="both"/>
        <w:rPr>
          <w:rFonts w:eastAsia="Times New Roman" w:cs="Times New Roman"/>
          <w:lang w:eastAsia="fr-FR"/>
        </w:rPr>
      </w:pPr>
      <w:r w:rsidRPr="00AE6726">
        <w:rPr>
          <w:rFonts w:eastAsia="Times New Roman" w:cs="Times New Roman"/>
          <w:lang w:eastAsia="fr-FR"/>
        </w:rPr>
        <w:t>Sensibilité culturelle / Valorisation de la diversité :</w:t>
      </w:r>
    </w:p>
    <w:p w14:paraId="73BB7A8F" w14:textId="77777777" w:rsidR="000F28A0" w:rsidRPr="00AE6726" w:rsidRDefault="000F28A0" w:rsidP="000F28A0">
      <w:pPr>
        <w:numPr>
          <w:ilvl w:val="0"/>
          <w:numId w:val="7"/>
        </w:numPr>
        <w:spacing w:before="100" w:beforeAutospacing="1" w:after="100" w:afterAutospacing="1" w:line="240" w:lineRule="auto"/>
        <w:jc w:val="both"/>
        <w:rPr>
          <w:rFonts w:eastAsia="Times New Roman" w:cs="Times New Roman"/>
          <w:lang w:eastAsia="fr-FR"/>
        </w:rPr>
      </w:pPr>
      <w:r w:rsidRPr="00AE6726">
        <w:rPr>
          <w:rFonts w:eastAsia="Times New Roman" w:cs="Times New Roman"/>
          <w:lang w:eastAsia="fr-FR"/>
        </w:rPr>
        <w:t xml:space="preserve">Démontrer une appréciation du caractère multiculturel de l’organisation et de la diversité de son personnel. </w:t>
      </w:r>
    </w:p>
    <w:p w14:paraId="7A59BD4D" w14:textId="77777777" w:rsidR="000F28A0" w:rsidRPr="00AE6726" w:rsidRDefault="000F28A0" w:rsidP="000F28A0">
      <w:pPr>
        <w:numPr>
          <w:ilvl w:val="0"/>
          <w:numId w:val="7"/>
        </w:numPr>
        <w:spacing w:before="100" w:beforeAutospacing="1" w:after="100" w:afterAutospacing="1" w:line="240" w:lineRule="auto"/>
        <w:jc w:val="both"/>
        <w:rPr>
          <w:rFonts w:eastAsia="Times New Roman" w:cs="Times New Roman"/>
          <w:lang w:eastAsia="fr-FR"/>
        </w:rPr>
      </w:pPr>
      <w:r w:rsidRPr="00AE6726">
        <w:rPr>
          <w:rFonts w:eastAsia="Times New Roman" w:cs="Times New Roman"/>
          <w:lang w:eastAsia="fr-FR"/>
        </w:rPr>
        <w:t>Démontrer une perspective internationale, apprécier les différences de valeurs et apprendre de la diversité culturelle.</w:t>
      </w:r>
    </w:p>
    <w:p w14:paraId="5FC02ED4" w14:textId="77777777" w:rsidR="000F28A0" w:rsidRPr="00036F04" w:rsidRDefault="000F28A0" w:rsidP="000F28A0">
      <w:pPr>
        <w:spacing w:after="0" w:line="240" w:lineRule="auto"/>
        <w:jc w:val="both"/>
        <w:rPr>
          <w:rFonts w:eastAsia="Times New Roman" w:cstheme="minorHAnsi"/>
          <w:b/>
          <w:bCs/>
          <w:color w:val="000000"/>
          <w:spacing w:val="-3"/>
          <w:sz w:val="26"/>
          <w:szCs w:val="26"/>
          <w:lang w:eastAsia="en-US" w:bidi="fr-FR"/>
        </w:rPr>
      </w:pPr>
      <w:r w:rsidRPr="00036F04">
        <w:rPr>
          <w:rFonts w:eastAsia="Times New Roman" w:cstheme="minorHAnsi"/>
          <w:b/>
          <w:bCs/>
          <w:color w:val="000000"/>
          <w:spacing w:val="-3"/>
          <w:sz w:val="26"/>
          <w:szCs w:val="26"/>
          <w:lang w:eastAsia="en-US" w:bidi="fr-FR"/>
        </w:rPr>
        <w:t>Les compétences de base :</w:t>
      </w:r>
    </w:p>
    <w:p w14:paraId="6AD15E98" w14:textId="77777777" w:rsidR="000F28A0" w:rsidRPr="00AE6726" w:rsidRDefault="000F28A0" w:rsidP="000F28A0">
      <w:pPr>
        <w:spacing w:after="0" w:line="240" w:lineRule="auto"/>
        <w:jc w:val="both"/>
        <w:rPr>
          <w:rFonts w:eastAsia="Times New Roman" w:cs="Times New Roman"/>
          <w:b/>
          <w:lang w:eastAsia="fr-FR"/>
        </w:rPr>
      </w:pPr>
      <w:r w:rsidRPr="00AE6726">
        <w:rPr>
          <w:rFonts w:eastAsia="Times New Roman" w:cs="Times New Roman"/>
          <w:b/>
          <w:lang w:eastAsia="fr-FR"/>
        </w:rPr>
        <w:t>Éthique et valeurs :</w:t>
      </w:r>
    </w:p>
    <w:p w14:paraId="7D26D66A" w14:textId="77777777" w:rsidR="000F28A0" w:rsidRPr="00AE6726" w:rsidRDefault="000F28A0" w:rsidP="000F28A0">
      <w:pPr>
        <w:numPr>
          <w:ilvl w:val="0"/>
          <w:numId w:val="8"/>
        </w:numPr>
        <w:spacing w:after="0" w:line="240" w:lineRule="auto"/>
        <w:jc w:val="both"/>
        <w:rPr>
          <w:rFonts w:eastAsia="Times New Roman" w:cs="Times New Roman"/>
          <w:lang w:eastAsia="fr-FR"/>
        </w:rPr>
      </w:pPr>
      <w:r w:rsidRPr="00AE6726">
        <w:rPr>
          <w:rFonts w:eastAsia="Times New Roman" w:cs="Times New Roman"/>
          <w:lang w:eastAsia="fr-FR"/>
        </w:rPr>
        <w:t>Démonstration / sauvegarde de l'éthique et de l'intégrité.</w:t>
      </w:r>
    </w:p>
    <w:p w14:paraId="55FCA19C" w14:textId="77777777" w:rsidR="000F28A0" w:rsidRPr="00AE6726" w:rsidRDefault="000F28A0" w:rsidP="000F28A0">
      <w:pPr>
        <w:numPr>
          <w:ilvl w:val="0"/>
          <w:numId w:val="8"/>
        </w:numPr>
        <w:spacing w:after="0" w:line="240" w:lineRule="auto"/>
        <w:jc w:val="both"/>
        <w:rPr>
          <w:rFonts w:eastAsia="Times New Roman" w:cs="Times New Roman"/>
          <w:lang w:eastAsia="fr-FR"/>
        </w:rPr>
      </w:pPr>
      <w:r w:rsidRPr="00AE6726">
        <w:rPr>
          <w:rFonts w:eastAsia="Times New Roman" w:cs="Times New Roman"/>
          <w:lang w:eastAsia="fr-FR"/>
        </w:rPr>
        <w:t>Sensibilisation organisationnelle :</w:t>
      </w:r>
    </w:p>
    <w:p w14:paraId="57D0B650" w14:textId="77777777" w:rsidR="000F28A0" w:rsidRPr="00AE6726" w:rsidRDefault="000F28A0" w:rsidP="000F28A0">
      <w:pPr>
        <w:numPr>
          <w:ilvl w:val="0"/>
          <w:numId w:val="8"/>
        </w:numPr>
        <w:spacing w:after="0" w:line="240" w:lineRule="auto"/>
        <w:jc w:val="both"/>
        <w:rPr>
          <w:rFonts w:eastAsia="Times New Roman" w:cs="Times New Roman"/>
          <w:lang w:eastAsia="fr-FR"/>
        </w:rPr>
      </w:pPr>
      <w:r w:rsidRPr="00AE6726">
        <w:rPr>
          <w:rFonts w:eastAsia="Times New Roman" w:cs="Times New Roman"/>
          <w:lang w:eastAsia="fr-FR"/>
        </w:rPr>
        <w:t>Faire preuve de connaissance de l'entreprise et de discernement.</w:t>
      </w:r>
    </w:p>
    <w:p w14:paraId="7CEEF054" w14:textId="77777777" w:rsidR="000F28A0" w:rsidRPr="00AE6726" w:rsidRDefault="000F28A0" w:rsidP="000F28A0">
      <w:pPr>
        <w:numPr>
          <w:ilvl w:val="0"/>
          <w:numId w:val="8"/>
        </w:numPr>
        <w:spacing w:after="0" w:line="240" w:lineRule="auto"/>
        <w:jc w:val="both"/>
        <w:rPr>
          <w:rFonts w:eastAsia="Times New Roman" w:cs="Times New Roman"/>
          <w:lang w:eastAsia="fr-FR"/>
        </w:rPr>
      </w:pPr>
      <w:r w:rsidRPr="00AE6726">
        <w:rPr>
          <w:rFonts w:eastAsia="Times New Roman" w:cs="Times New Roman"/>
          <w:lang w:eastAsia="fr-FR"/>
        </w:rPr>
        <w:t>Communiquer des informations et des idées :</w:t>
      </w:r>
    </w:p>
    <w:p w14:paraId="7586BB7A" w14:textId="77777777" w:rsidR="000F28A0" w:rsidRPr="00AE6726" w:rsidRDefault="000F28A0" w:rsidP="000F28A0">
      <w:pPr>
        <w:numPr>
          <w:ilvl w:val="0"/>
          <w:numId w:val="8"/>
        </w:numPr>
        <w:spacing w:after="0" w:line="240" w:lineRule="auto"/>
        <w:jc w:val="both"/>
        <w:rPr>
          <w:rFonts w:eastAsia="Times New Roman" w:cs="Times New Roman"/>
          <w:lang w:eastAsia="fr-FR"/>
        </w:rPr>
      </w:pPr>
      <w:r w:rsidRPr="00AE6726">
        <w:rPr>
          <w:rFonts w:eastAsia="Times New Roman" w:cs="Times New Roman"/>
          <w:lang w:eastAsia="fr-FR"/>
        </w:rPr>
        <w:t>Faciliter et encourager une communication ouverte au sein de l’équipe, communiquer efficacement.</w:t>
      </w:r>
    </w:p>
    <w:p w14:paraId="4CD325FD" w14:textId="77777777" w:rsidR="000F28A0" w:rsidRPr="00AE6726" w:rsidRDefault="000F28A0" w:rsidP="000F28A0">
      <w:pPr>
        <w:spacing w:after="0" w:line="240" w:lineRule="auto"/>
        <w:jc w:val="both"/>
        <w:rPr>
          <w:rFonts w:eastAsia="Times New Roman" w:cs="Times New Roman"/>
          <w:b/>
          <w:lang w:eastAsia="fr-FR"/>
        </w:rPr>
      </w:pPr>
      <w:r w:rsidRPr="00AE6726">
        <w:rPr>
          <w:rFonts w:eastAsia="Times New Roman" w:cs="Times New Roman"/>
          <w:b/>
          <w:lang w:eastAsia="fr-FR"/>
        </w:rPr>
        <w:t>Autogestion et intelligence émotionnelle :</w:t>
      </w:r>
    </w:p>
    <w:p w14:paraId="5B653FB0" w14:textId="77777777" w:rsidR="000F28A0" w:rsidRPr="00AE6726" w:rsidRDefault="000F28A0" w:rsidP="000F28A0">
      <w:pPr>
        <w:numPr>
          <w:ilvl w:val="0"/>
          <w:numId w:val="8"/>
        </w:numPr>
        <w:spacing w:after="0" w:line="240" w:lineRule="auto"/>
        <w:jc w:val="both"/>
        <w:rPr>
          <w:rFonts w:eastAsia="Times New Roman" w:cs="Times New Roman"/>
          <w:lang w:eastAsia="fr-FR"/>
        </w:rPr>
      </w:pPr>
      <w:r w:rsidRPr="00AE6726">
        <w:rPr>
          <w:rFonts w:eastAsia="Times New Roman" w:cs="Times New Roman"/>
          <w:lang w:eastAsia="fr-FR"/>
        </w:rPr>
        <w:t>Créer des synergies grâce à la maîtrise de soi.</w:t>
      </w:r>
    </w:p>
    <w:p w14:paraId="5649288A" w14:textId="77777777" w:rsidR="000F28A0" w:rsidRPr="00AE6726" w:rsidRDefault="000F28A0" w:rsidP="000F28A0">
      <w:pPr>
        <w:numPr>
          <w:ilvl w:val="0"/>
          <w:numId w:val="8"/>
        </w:numPr>
        <w:spacing w:after="0" w:line="240" w:lineRule="auto"/>
        <w:jc w:val="both"/>
        <w:rPr>
          <w:rFonts w:eastAsia="Times New Roman" w:cs="Times New Roman"/>
          <w:lang w:eastAsia="fr-FR"/>
        </w:rPr>
      </w:pPr>
      <w:r w:rsidRPr="00AE6726">
        <w:rPr>
          <w:rFonts w:eastAsia="Times New Roman" w:cs="Times New Roman"/>
          <w:lang w:eastAsia="fr-FR"/>
        </w:rPr>
        <w:t>Partage de connaissances / apprentissage continu :</w:t>
      </w:r>
    </w:p>
    <w:p w14:paraId="4FA51BA9" w14:textId="77777777" w:rsidR="000F28A0" w:rsidRPr="00AE6726" w:rsidRDefault="000F28A0" w:rsidP="000F28A0">
      <w:pPr>
        <w:numPr>
          <w:ilvl w:val="0"/>
          <w:numId w:val="8"/>
        </w:numPr>
        <w:spacing w:after="0" w:line="240" w:lineRule="auto"/>
        <w:jc w:val="both"/>
        <w:rPr>
          <w:rFonts w:eastAsia="Times New Roman" w:cs="Times New Roman"/>
          <w:lang w:eastAsia="fr-FR"/>
        </w:rPr>
      </w:pPr>
      <w:r w:rsidRPr="00AE6726">
        <w:rPr>
          <w:rFonts w:eastAsia="Times New Roman" w:cs="Times New Roman"/>
          <w:lang w:eastAsia="fr-FR"/>
        </w:rPr>
        <w:t>Apprendre et partager les connaissances et encourager l’apprentissage des autres.</w:t>
      </w:r>
    </w:p>
    <w:p w14:paraId="0C2300F5" w14:textId="77777777" w:rsidR="000F28A0" w:rsidRDefault="000F28A0" w:rsidP="000F28A0">
      <w:pPr>
        <w:spacing w:after="0" w:line="240" w:lineRule="auto"/>
        <w:jc w:val="both"/>
        <w:rPr>
          <w:rFonts w:eastAsia="Times New Roman" w:cstheme="minorHAnsi"/>
          <w:b/>
          <w:bCs/>
          <w:color w:val="000000"/>
          <w:spacing w:val="-3"/>
          <w:sz w:val="26"/>
          <w:szCs w:val="26"/>
          <w:lang w:eastAsia="en-US" w:bidi="fr-FR"/>
        </w:rPr>
      </w:pPr>
    </w:p>
    <w:p w14:paraId="35E87352" w14:textId="77777777" w:rsidR="000F28A0" w:rsidRPr="00036F04" w:rsidRDefault="000F28A0" w:rsidP="000F28A0">
      <w:pPr>
        <w:spacing w:after="0" w:line="240" w:lineRule="auto"/>
        <w:jc w:val="both"/>
        <w:rPr>
          <w:rFonts w:eastAsia="Times New Roman" w:cstheme="minorHAnsi"/>
          <w:b/>
          <w:bCs/>
          <w:color w:val="000000"/>
          <w:spacing w:val="-3"/>
          <w:sz w:val="26"/>
          <w:szCs w:val="26"/>
          <w:lang w:eastAsia="en-US" w:bidi="fr-FR"/>
        </w:rPr>
      </w:pPr>
      <w:r w:rsidRPr="00036F04">
        <w:rPr>
          <w:rFonts w:eastAsia="Times New Roman" w:cstheme="minorHAnsi"/>
          <w:b/>
          <w:bCs/>
          <w:color w:val="000000"/>
          <w:spacing w:val="-3"/>
          <w:sz w:val="26"/>
          <w:szCs w:val="26"/>
          <w:lang w:eastAsia="en-US" w:bidi="fr-FR"/>
        </w:rPr>
        <w:t>Compétences fonctionnelles :</w:t>
      </w:r>
    </w:p>
    <w:p w14:paraId="319CF319" w14:textId="77777777" w:rsidR="000F28A0" w:rsidRPr="00AE6726" w:rsidRDefault="000F28A0" w:rsidP="000F28A0">
      <w:pPr>
        <w:numPr>
          <w:ilvl w:val="0"/>
          <w:numId w:val="9"/>
        </w:numPr>
        <w:spacing w:after="0" w:line="240" w:lineRule="auto"/>
        <w:jc w:val="both"/>
        <w:rPr>
          <w:rFonts w:eastAsia="Times New Roman" w:cs="Times New Roman"/>
          <w:lang w:eastAsia="fr-FR"/>
        </w:rPr>
      </w:pPr>
      <w:r w:rsidRPr="00AE6726">
        <w:rPr>
          <w:rFonts w:eastAsia="Times New Roman" w:cs="Times New Roman"/>
          <w:lang w:eastAsia="fr-FR"/>
        </w:rPr>
        <w:t>Connaissance et expérience démontrées dans la recherche en lien avec le sujet</w:t>
      </w:r>
    </w:p>
    <w:p w14:paraId="6D26C58B" w14:textId="77777777" w:rsidR="000F28A0" w:rsidRPr="00AE6726" w:rsidRDefault="000F28A0" w:rsidP="000F28A0">
      <w:pPr>
        <w:numPr>
          <w:ilvl w:val="0"/>
          <w:numId w:val="9"/>
        </w:numPr>
        <w:spacing w:after="0" w:line="240" w:lineRule="auto"/>
        <w:jc w:val="both"/>
        <w:rPr>
          <w:rFonts w:eastAsia="Times New Roman" w:cs="Times New Roman"/>
          <w:lang w:eastAsia="fr-FR"/>
        </w:rPr>
      </w:pPr>
      <w:r w:rsidRPr="00AE6726">
        <w:rPr>
          <w:rFonts w:eastAsia="Times New Roman" w:cs="Times New Roman"/>
          <w:lang w:eastAsia="fr-FR"/>
        </w:rPr>
        <w:t>Compétences éprouvées en matière de coordination et de facilitation ;</w:t>
      </w:r>
    </w:p>
    <w:p w14:paraId="03755FEF" w14:textId="77777777" w:rsidR="000F28A0" w:rsidRPr="00AE6726" w:rsidRDefault="000F28A0" w:rsidP="000F28A0">
      <w:pPr>
        <w:numPr>
          <w:ilvl w:val="0"/>
          <w:numId w:val="9"/>
        </w:numPr>
        <w:spacing w:before="100" w:beforeAutospacing="1" w:after="100" w:afterAutospacing="1" w:line="240" w:lineRule="auto"/>
        <w:jc w:val="both"/>
        <w:rPr>
          <w:rFonts w:eastAsia="Times New Roman" w:cs="Times New Roman"/>
          <w:lang w:eastAsia="fr-FR"/>
        </w:rPr>
      </w:pPr>
      <w:r w:rsidRPr="00AE6726">
        <w:rPr>
          <w:rFonts w:eastAsia="Times New Roman" w:cs="Times New Roman"/>
          <w:lang w:eastAsia="fr-FR"/>
        </w:rPr>
        <w:t>La capacité à coordonner entre différentes organisations ;</w:t>
      </w:r>
    </w:p>
    <w:p w14:paraId="48EDFFCF" w14:textId="77777777" w:rsidR="000F28A0" w:rsidRPr="00AE6726" w:rsidRDefault="000F28A0" w:rsidP="000F28A0">
      <w:pPr>
        <w:numPr>
          <w:ilvl w:val="0"/>
          <w:numId w:val="9"/>
        </w:numPr>
        <w:spacing w:before="100" w:beforeAutospacing="1" w:after="100" w:afterAutospacing="1" w:line="240" w:lineRule="auto"/>
        <w:jc w:val="both"/>
        <w:rPr>
          <w:rFonts w:eastAsia="Times New Roman" w:cs="Times New Roman"/>
          <w:lang w:eastAsia="fr-FR"/>
        </w:rPr>
      </w:pPr>
      <w:r w:rsidRPr="00AE6726">
        <w:rPr>
          <w:rFonts w:eastAsia="Times New Roman" w:cs="Times New Roman"/>
          <w:lang w:eastAsia="fr-FR"/>
        </w:rPr>
        <w:t>Solides compétences en communication en arabe et en français (oral et écrit);</w:t>
      </w:r>
    </w:p>
    <w:p w14:paraId="6D7B7393" w14:textId="77777777" w:rsidR="000F28A0" w:rsidRPr="00AE6726" w:rsidRDefault="000F28A0" w:rsidP="000F28A0">
      <w:pPr>
        <w:numPr>
          <w:ilvl w:val="0"/>
          <w:numId w:val="9"/>
        </w:numPr>
        <w:spacing w:before="100" w:beforeAutospacing="1" w:after="100" w:afterAutospacing="1" w:line="240" w:lineRule="auto"/>
        <w:jc w:val="both"/>
        <w:rPr>
          <w:rFonts w:eastAsia="Times New Roman" w:cs="Times New Roman"/>
          <w:lang w:eastAsia="fr-FR"/>
        </w:rPr>
      </w:pPr>
      <w:r w:rsidRPr="00AE6726">
        <w:rPr>
          <w:rFonts w:eastAsia="Times New Roman" w:cs="Times New Roman"/>
          <w:lang w:eastAsia="fr-FR"/>
        </w:rPr>
        <w:t>Capacité à travailler sous pression et à livrer à temps ;</w:t>
      </w:r>
    </w:p>
    <w:p w14:paraId="340DC444" w14:textId="77777777" w:rsidR="000F28A0" w:rsidRPr="00AE6726" w:rsidRDefault="000F28A0" w:rsidP="000F28A0">
      <w:pPr>
        <w:numPr>
          <w:ilvl w:val="0"/>
          <w:numId w:val="9"/>
        </w:numPr>
        <w:spacing w:before="100" w:beforeAutospacing="1" w:after="100" w:afterAutospacing="1" w:line="240" w:lineRule="auto"/>
        <w:jc w:val="both"/>
        <w:rPr>
          <w:rFonts w:eastAsia="Times New Roman" w:cs="Times New Roman"/>
          <w:sz w:val="24"/>
          <w:szCs w:val="24"/>
          <w:lang w:eastAsia="fr-FR"/>
        </w:rPr>
      </w:pPr>
      <w:r w:rsidRPr="00AE6726">
        <w:rPr>
          <w:rFonts w:eastAsia="Times New Roman" w:cs="Times New Roman"/>
          <w:lang w:eastAsia="fr-FR"/>
        </w:rPr>
        <w:t>Axé sur les résultats, flexible et doté de compétences en résolution de problèmes</w:t>
      </w:r>
    </w:p>
    <w:p w14:paraId="0F2F33E8" w14:textId="77777777" w:rsidR="000F28A0" w:rsidRPr="00036F04" w:rsidRDefault="000F28A0" w:rsidP="000F28A0">
      <w:pPr>
        <w:spacing w:after="0" w:line="240" w:lineRule="auto"/>
        <w:jc w:val="both"/>
        <w:rPr>
          <w:rFonts w:eastAsia="Times New Roman" w:cstheme="minorHAnsi"/>
          <w:b/>
          <w:bCs/>
          <w:color w:val="000000"/>
          <w:spacing w:val="-3"/>
          <w:sz w:val="26"/>
          <w:szCs w:val="26"/>
          <w:lang w:eastAsia="en-US" w:bidi="fr-FR"/>
        </w:rPr>
      </w:pPr>
      <w:r w:rsidRPr="00036F04">
        <w:rPr>
          <w:rFonts w:eastAsia="Times New Roman" w:cstheme="minorHAnsi"/>
          <w:b/>
          <w:bCs/>
          <w:color w:val="000000"/>
          <w:spacing w:val="-3"/>
          <w:sz w:val="26"/>
          <w:szCs w:val="26"/>
          <w:lang w:eastAsia="en-US" w:bidi="fr-FR"/>
        </w:rPr>
        <w:t xml:space="preserve"> Qualifications et Expérience requises :</w:t>
      </w:r>
    </w:p>
    <w:p w14:paraId="20E6FE89" w14:textId="77777777" w:rsidR="000F28A0" w:rsidRPr="00036F04" w:rsidRDefault="000F28A0" w:rsidP="000F28A0">
      <w:pPr>
        <w:numPr>
          <w:ilvl w:val="0"/>
          <w:numId w:val="9"/>
        </w:numPr>
        <w:spacing w:before="100" w:beforeAutospacing="1" w:after="100" w:afterAutospacing="1" w:line="240" w:lineRule="auto"/>
        <w:jc w:val="both"/>
        <w:rPr>
          <w:rFonts w:eastAsia="Times New Roman" w:cs="Times New Roman"/>
          <w:lang w:eastAsia="fr-FR"/>
        </w:rPr>
      </w:pPr>
      <w:r w:rsidRPr="00036F04">
        <w:rPr>
          <w:rFonts w:eastAsia="Times New Roman" w:cs="Times New Roman"/>
          <w:lang w:eastAsia="fr-FR"/>
        </w:rPr>
        <w:t xml:space="preserve">L’appel est ouvert à tout </w:t>
      </w:r>
      <w:r>
        <w:rPr>
          <w:rFonts w:eastAsia="Times New Roman" w:cs="Times New Roman"/>
          <w:lang w:eastAsia="fr-FR"/>
        </w:rPr>
        <w:t xml:space="preserve">cabinet d’études/ bureau de consulting où le </w:t>
      </w:r>
      <w:r w:rsidRPr="00036F04">
        <w:rPr>
          <w:rFonts w:eastAsia="Times New Roman" w:cs="Times New Roman"/>
          <w:lang w:eastAsia="fr-FR"/>
        </w:rPr>
        <w:t>porteur de projet</w:t>
      </w:r>
      <w:r>
        <w:rPr>
          <w:rFonts w:eastAsia="Times New Roman" w:cs="Times New Roman"/>
          <w:lang w:eastAsia="fr-FR"/>
        </w:rPr>
        <w:t>(chef de projet et chef d’équipe)</w:t>
      </w:r>
      <w:r w:rsidRPr="00036F04">
        <w:rPr>
          <w:rFonts w:eastAsia="Times New Roman" w:cs="Times New Roman"/>
          <w:lang w:eastAsia="fr-FR"/>
        </w:rPr>
        <w:t xml:space="preserve"> titulaire d’une thèse de doctorat, </w:t>
      </w:r>
      <w:r>
        <w:rPr>
          <w:rFonts w:eastAsia="Times New Roman" w:cs="Times New Roman"/>
          <w:lang w:eastAsia="fr-FR"/>
        </w:rPr>
        <w:t xml:space="preserve">ou </w:t>
      </w:r>
      <w:r w:rsidRPr="00036F04">
        <w:rPr>
          <w:rFonts w:eastAsia="Times New Roman" w:cs="Times New Roman"/>
          <w:lang w:eastAsia="fr-FR"/>
        </w:rPr>
        <w:t xml:space="preserve">affilié à un laboratoire de recherche rattaché à un établissement d’enseignement supérieur et de recherche ou à un organisme public de recherche, ou travaillant dans un cabinet d’étude, en qualité de statutaire ou d’associé, et bénéficiant d’une compétence dans les champs et thématiques précisés, ou appartenant à une association/ ONG travaillant dans le domaine de la recherche concernée. </w:t>
      </w:r>
    </w:p>
    <w:p w14:paraId="58BF8A89" w14:textId="77777777" w:rsidR="000F28A0" w:rsidRPr="00036F04" w:rsidRDefault="000F28A0" w:rsidP="000F28A0">
      <w:pPr>
        <w:numPr>
          <w:ilvl w:val="0"/>
          <w:numId w:val="9"/>
        </w:numPr>
        <w:spacing w:before="100" w:beforeAutospacing="1" w:after="100" w:afterAutospacing="1" w:line="240" w:lineRule="auto"/>
        <w:jc w:val="both"/>
        <w:rPr>
          <w:rFonts w:eastAsia="Times New Roman" w:cs="Times New Roman"/>
          <w:lang w:eastAsia="fr-FR"/>
        </w:rPr>
      </w:pPr>
      <w:r>
        <w:rPr>
          <w:rFonts w:eastAsia="Times New Roman" w:cs="Times New Roman"/>
          <w:lang w:eastAsia="fr-FR"/>
        </w:rPr>
        <w:t>Les CVs, rôl</w:t>
      </w:r>
      <w:r w:rsidRPr="00036F04">
        <w:rPr>
          <w:rFonts w:eastAsia="Times New Roman" w:cs="Times New Roman"/>
          <w:lang w:eastAsia="fr-FR"/>
        </w:rPr>
        <w:t>e</w:t>
      </w:r>
      <w:r>
        <w:rPr>
          <w:rFonts w:eastAsia="Times New Roman" w:cs="Times New Roman"/>
          <w:lang w:eastAsia="fr-FR"/>
        </w:rPr>
        <w:t>s</w:t>
      </w:r>
      <w:r w:rsidRPr="00036F04">
        <w:rPr>
          <w:rFonts w:eastAsia="Times New Roman" w:cs="Times New Roman"/>
          <w:lang w:eastAsia="fr-FR"/>
        </w:rPr>
        <w:t xml:space="preserve"> et mission</w:t>
      </w:r>
      <w:r>
        <w:rPr>
          <w:rFonts w:eastAsia="Times New Roman" w:cs="Times New Roman"/>
          <w:lang w:eastAsia="fr-FR"/>
        </w:rPr>
        <w:t>s</w:t>
      </w:r>
      <w:r w:rsidRPr="00036F04">
        <w:rPr>
          <w:rFonts w:eastAsia="Times New Roman" w:cs="Times New Roman"/>
          <w:lang w:eastAsia="fr-FR"/>
        </w:rPr>
        <w:t xml:space="preserve"> de</w:t>
      </w:r>
      <w:r>
        <w:rPr>
          <w:rFonts w:eastAsia="Times New Roman" w:cs="Times New Roman"/>
          <w:lang w:eastAsia="fr-FR"/>
        </w:rPr>
        <w:t>s membres de</w:t>
      </w:r>
      <w:r w:rsidRPr="00036F04">
        <w:rPr>
          <w:rFonts w:eastAsia="Times New Roman" w:cs="Times New Roman"/>
          <w:lang w:eastAsia="fr-FR"/>
        </w:rPr>
        <w:t xml:space="preserve"> l’équipe (</w:t>
      </w:r>
      <w:r>
        <w:rPr>
          <w:rFonts w:eastAsia="Times New Roman" w:cs="Times New Roman"/>
          <w:lang w:eastAsia="fr-FR"/>
        </w:rPr>
        <w:t xml:space="preserve">chercheurs </w:t>
      </w:r>
      <w:r w:rsidRPr="00036F04">
        <w:rPr>
          <w:rFonts w:eastAsia="Times New Roman" w:cs="Times New Roman"/>
          <w:lang w:eastAsia="fr-FR"/>
        </w:rPr>
        <w:t xml:space="preserve">étudiants de master ; doctorant, post-doctorants, </w:t>
      </w:r>
      <w:r>
        <w:rPr>
          <w:rFonts w:eastAsia="Times New Roman" w:cs="Times New Roman"/>
          <w:lang w:eastAsia="fr-FR"/>
        </w:rPr>
        <w:t xml:space="preserve">ou </w:t>
      </w:r>
      <w:r w:rsidRPr="00036F04">
        <w:rPr>
          <w:rFonts w:eastAsia="Times New Roman" w:cs="Times New Roman"/>
          <w:lang w:eastAsia="fr-FR"/>
        </w:rPr>
        <w:t>consultant</w:t>
      </w:r>
      <w:r>
        <w:rPr>
          <w:rFonts w:eastAsia="Times New Roman" w:cs="Times New Roman"/>
          <w:lang w:eastAsia="fr-FR"/>
        </w:rPr>
        <w:t>s</w:t>
      </w:r>
      <w:r w:rsidRPr="00036F04">
        <w:rPr>
          <w:rFonts w:eastAsia="Times New Roman" w:cs="Times New Roman"/>
          <w:lang w:eastAsia="fr-FR"/>
        </w:rPr>
        <w:t xml:space="preserve"> avec minimum un master en sciences sociales, droit, économie, environnement ou domaine connexe), </w:t>
      </w:r>
    </w:p>
    <w:p w14:paraId="47328F86" w14:textId="77777777" w:rsidR="000F28A0" w:rsidRPr="00036F04" w:rsidRDefault="000F28A0" w:rsidP="000F28A0">
      <w:pPr>
        <w:spacing w:after="0" w:line="240" w:lineRule="auto"/>
        <w:rPr>
          <w:rFonts w:eastAsia="Times New Roman" w:cstheme="minorHAnsi"/>
          <w:b/>
          <w:bCs/>
          <w:color w:val="000000"/>
          <w:spacing w:val="-3"/>
          <w:sz w:val="26"/>
          <w:szCs w:val="26"/>
          <w:lang w:eastAsia="en-US" w:bidi="fr-FR"/>
        </w:rPr>
      </w:pPr>
      <w:r w:rsidRPr="00036F04">
        <w:rPr>
          <w:rFonts w:eastAsia="Times New Roman" w:cstheme="minorHAnsi"/>
          <w:b/>
          <w:bCs/>
          <w:color w:val="000000"/>
          <w:spacing w:val="-3"/>
          <w:sz w:val="26"/>
          <w:szCs w:val="26"/>
          <w:lang w:eastAsia="en-US" w:bidi="fr-FR"/>
        </w:rPr>
        <w:t>L’équipe de recherche devra disposer de :</w:t>
      </w:r>
    </w:p>
    <w:p w14:paraId="79B8D4C7" w14:textId="77777777" w:rsidR="000F28A0" w:rsidRPr="00590CF8" w:rsidRDefault="000F28A0" w:rsidP="000F28A0">
      <w:pPr>
        <w:pStyle w:val="ListParagraph"/>
        <w:numPr>
          <w:ilvl w:val="0"/>
          <w:numId w:val="6"/>
        </w:numPr>
        <w:contextualSpacing/>
        <w:jc w:val="both"/>
        <w:rPr>
          <w:rFonts w:cs="Calibri"/>
          <w:color w:val="000000"/>
          <w:lang w:val="fr-FR"/>
        </w:rPr>
      </w:pPr>
      <w:r w:rsidRPr="00590CF8">
        <w:rPr>
          <w:rStyle w:val="fontstyle21"/>
          <w:lang w:val="fr-FR"/>
        </w:rPr>
        <w:lastRenderedPageBreak/>
        <w:t>Une excellente connaissance des méthodes et techniques d’analyse situationnelle</w:t>
      </w:r>
      <w:r w:rsidRPr="00590CF8">
        <w:rPr>
          <w:rFonts w:cs="Calibri"/>
          <w:color w:val="000000"/>
          <w:lang w:val="fr-FR"/>
        </w:rPr>
        <w:br/>
      </w:r>
      <w:r w:rsidRPr="00590CF8">
        <w:rPr>
          <w:rStyle w:val="fontstyle21"/>
          <w:lang w:val="fr-FR"/>
        </w:rPr>
        <w:t xml:space="preserve">multidisciplinaire du Genre au niveau international, national et local, d’évaluation de projet avec au moins 4 années d’expérience pratique dans des missions similaires, </w:t>
      </w:r>
    </w:p>
    <w:p w14:paraId="42C7D2F9" w14:textId="77777777" w:rsidR="000F28A0" w:rsidRPr="00590CF8" w:rsidRDefault="000F28A0" w:rsidP="000F28A0">
      <w:pPr>
        <w:pStyle w:val="ListParagraph"/>
        <w:numPr>
          <w:ilvl w:val="0"/>
          <w:numId w:val="6"/>
        </w:numPr>
        <w:contextualSpacing/>
        <w:jc w:val="both"/>
        <w:rPr>
          <w:rStyle w:val="fontstyle21"/>
          <w:lang w:val="fr-FR"/>
        </w:rPr>
      </w:pPr>
      <w:r w:rsidRPr="00590CF8">
        <w:rPr>
          <w:rStyle w:val="fontstyle21"/>
          <w:lang w:val="fr-FR"/>
        </w:rPr>
        <w:t>Au moins (01) une expérience de recherche approfondie dans au moins 2 des thématiques suivantes : les processus de transition démocratique, la résolution de conflits, l’analyse du genre et</w:t>
      </w:r>
      <w:r>
        <w:rPr>
          <w:rStyle w:val="fontstyle21"/>
          <w:lang w:val="fr-FR"/>
        </w:rPr>
        <w:t xml:space="preserve"> </w:t>
      </w:r>
      <w:r w:rsidRPr="00590CF8">
        <w:rPr>
          <w:rStyle w:val="fontstyle21"/>
          <w:lang w:val="fr-FR"/>
        </w:rPr>
        <w:t xml:space="preserve">les droits de l’homme, la consolidation de la paix, l’entrepreneuriat féminin, l’économie sociale et solidaire, l’économie circulaire… </w:t>
      </w:r>
    </w:p>
    <w:p w14:paraId="06F57DE4" w14:textId="77777777" w:rsidR="000F28A0" w:rsidRPr="00590CF8" w:rsidRDefault="000F28A0" w:rsidP="000F28A0">
      <w:pPr>
        <w:pStyle w:val="ListParagraph"/>
        <w:numPr>
          <w:ilvl w:val="0"/>
          <w:numId w:val="6"/>
        </w:numPr>
        <w:contextualSpacing/>
        <w:jc w:val="both"/>
        <w:rPr>
          <w:rStyle w:val="fontstyle21"/>
          <w:lang w:val="fr-FR"/>
        </w:rPr>
      </w:pPr>
      <w:r w:rsidRPr="00590CF8">
        <w:rPr>
          <w:rStyle w:val="fontstyle21"/>
          <w:lang w:val="fr-FR"/>
        </w:rPr>
        <w:t>De références pertinentes des membres de l’équipe de missions menées au Sud tunisien et une bonne connaissance du contexte tunisien et de la région ;</w:t>
      </w:r>
    </w:p>
    <w:p w14:paraId="12EB48BB" w14:textId="77777777" w:rsidR="000F28A0" w:rsidRPr="00590CF8" w:rsidRDefault="000F28A0" w:rsidP="000F28A0">
      <w:pPr>
        <w:pStyle w:val="ListParagraph"/>
        <w:numPr>
          <w:ilvl w:val="0"/>
          <w:numId w:val="6"/>
        </w:numPr>
        <w:contextualSpacing/>
        <w:jc w:val="both"/>
        <w:rPr>
          <w:rFonts w:cs="Calibri"/>
          <w:color w:val="000000"/>
          <w:lang w:val="fr-FR"/>
        </w:rPr>
      </w:pPr>
      <w:r w:rsidRPr="00590CF8">
        <w:rPr>
          <w:rStyle w:val="fontstyle21"/>
          <w:lang w:val="fr-FR"/>
        </w:rPr>
        <w:t>Avoir réalisé au moins 3 missions d’analyse des inégalités et exclusion, de programmation basée sur les droits humains et l’intégration du genre dans la planification en vue de s’assurer de ne laisser personne de côté ;</w:t>
      </w:r>
    </w:p>
    <w:p w14:paraId="6751EA8C" w14:textId="77777777" w:rsidR="000F28A0" w:rsidRPr="00590CF8" w:rsidRDefault="000F28A0" w:rsidP="000F28A0">
      <w:pPr>
        <w:pStyle w:val="ListParagraph"/>
        <w:numPr>
          <w:ilvl w:val="0"/>
          <w:numId w:val="6"/>
        </w:numPr>
        <w:contextualSpacing/>
        <w:jc w:val="both"/>
        <w:rPr>
          <w:rFonts w:cs="Calibri"/>
          <w:color w:val="000000"/>
          <w:lang w:val="fr-FR"/>
        </w:rPr>
      </w:pPr>
      <w:r w:rsidRPr="00590CF8">
        <w:rPr>
          <w:rStyle w:val="fontstyle21"/>
          <w:lang w:val="fr-FR"/>
        </w:rPr>
        <w:t>Une expérience pertinente dans la production de rapports techniques sur l'évaluation des risques multidimensionnels, l'analyse de la situation et/ou prospective pour les décideurs politiques serait un atout ;</w:t>
      </w:r>
    </w:p>
    <w:p w14:paraId="4C9FFB0A" w14:textId="77777777" w:rsidR="000F28A0" w:rsidRPr="00590CF8" w:rsidRDefault="000F28A0" w:rsidP="000F28A0">
      <w:pPr>
        <w:pStyle w:val="ListParagraph"/>
        <w:numPr>
          <w:ilvl w:val="0"/>
          <w:numId w:val="6"/>
        </w:numPr>
        <w:contextualSpacing/>
        <w:jc w:val="both"/>
        <w:rPr>
          <w:rStyle w:val="fontstyle21"/>
          <w:lang w:val="fr-FR"/>
        </w:rPr>
      </w:pPr>
      <w:r w:rsidRPr="00590CF8">
        <w:rPr>
          <w:rStyle w:val="fontstyle21"/>
          <w:lang w:val="fr-FR"/>
        </w:rPr>
        <w:t>Une expérience en mapping des acteurs et des vulnérabilités dans une perspective de développement serait un atout ;</w:t>
      </w:r>
    </w:p>
    <w:p w14:paraId="306E83FA" w14:textId="77777777" w:rsidR="000F28A0" w:rsidRPr="00590CF8" w:rsidRDefault="000F28A0" w:rsidP="000F28A0">
      <w:pPr>
        <w:pStyle w:val="ListParagraph"/>
        <w:numPr>
          <w:ilvl w:val="0"/>
          <w:numId w:val="6"/>
        </w:numPr>
        <w:contextualSpacing/>
        <w:jc w:val="both"/>
        <w:rPr>
          <w:rStyle w:val="fontstyle21"/>
          <w:lang w:val="fr-FR"/>
        </w:rPr>
      </w:pPr>
      <w:r w:rsidRPr="00590CF8">
        <w:rPr>
          <w:rStyle w:val="fontstyle21"/>
          <w:lang w:val="fr-FR"/>
        </w:rPr>
        <w:t>La connaissance des outils d’analyse des dynamiques transfrontalières et régionales et des mécanismes de préservation de la paix et de lutte contre l’extrémisme violent serait un atout</w:t>
      </w:r>
    </w:p>
    <w:p w14:paraId="1AC9E364" w14:textId="77777777" w:rsidR="000F28A0" w:rsidRPr="00590CF8" w:rsidRDefault="000F28A0" w:rsidP="000F28A0">
      <w:pPr>
        <w:pStyle w:val="ListParagraph"/>
        <w:numPr>
          <w:ilvl w:val="0"/>
          <w:numId w:val="6"/>
        </w:numPr>
        <w:contextualSpacing/>
        <w:jc w:val="both"/>
        <w:rPr>
          <w:rFonts w:ascii="Calibri" w:hAnsi="Calibri" w:cs="Calibri"/>
          <w:color w:val="000000"/>
          <w:sz w:val="22"/>
          <w:szCs w:val="22"/>
          <w:lang w:val="fr-FR"/>
        </w:rPr>
      </w:pPr>
      <w:r w:rsidRPr="00590CF8">
        <w:rPr>
          <w:rStyle w:val="fontstyle21"/>
          <w:lang w:val="fr-FR"/>
        </w:rPr>
        <w:t>Une parfaite maîtrise du français et de l’arabe. Une bonne connaissance de l’anglais est un atout.</w:t>
      </w:r>
    </w:p>
    <w:p w14:paraId="4E253770" w14:textId="77777777" w:rsidR="000F28A0" w:rsidRPr="00590CF8" w:rsidRDefault="000F28A0" w:rsidP="000F28A0">
      <w:pPr>
        <w:rPr>
          <w:rFonts w:cs="Arial"/>
          <w:b/>
          <w:bCs/>
          <w:lang w:val="fr-FR"/>
        </w:rPr>
      </w:pPr>
      <w:r w:rsidRPr="00590CF8">
        <w:rPr>
          <w:rFonts w:cs="Arial"/>
          <w:b/>
          <w:bCs/>
          <w:lang w:val="fr-FR"/>
        </w:rPr>
        <w:br w:type="page"/>
      </w:r>
    </w:p>
    <w:p w14:paraId="201CC103" w14:textId="77777777" w:rsidR="00CF7C94" w:rsidRDefault="00C927D5"/>
    <w:sectPr w:rsidR="00CF7C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5E14C" w14:textId="77777777" w:rsidR="000F28A0" w:rsidRDefault="000F28A0" w:rsidP="000F28A0">
      <w:pPr>
        <w:spacing w:after="0" w:line="240" w:lineRule="auto"/>
      </w:pPr>
      <w:r>
        <w:separator/>
      </w:r>
    </w:p>
  </w:endnote>
  <w:endnote w:type="continuationSeparator" w:id="0">
    <w:p w14:paraId="76641B3A" w14:textId="77777777" w:rsidR="000F28A0" w:rsidRDefault="000F28A0" w:rsidP="000F2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06C99" w14:textId="77777777" w:rsidR="000F28A0" w:rsidRDefault="000F28A0" w:rsidP="000F28A0">
      <w:pPr>
        <w:spacing w:after="0" w:line="240" w:lineRule="auto"/>
      </w:pPr>
      <w:r>
        <w:separator/>
      </w:r>
    </w:p>
  </w:footnote>
  <w:footnote w:type="continuationSeparator" w:id="0">
    <w:p w14:paraId="0AACAF63" w14:textId="77777777" w:rsidR="000F28A0" w:rsidRDefault="000F28A0" w:rsidP="000F28A0">
      <w:pPr>
        <w:spacing w:after="0" w:line="240" w:lineRule="auto"/>
      </w:pPr>
      <w:r>
        <w:continuationSeparator/>
      </w:r>
    </w:p>
  </w:footnote>
  <w:footnote w:id="1">
    <w:p w14:paraId="04CCA1CD" w14:textId="77777777" w:rsidR="000F28A0" w:rsidRPr="00590CF8" w:rsidRDefault="000F28A0" w:rsidP="000F28A0">
      <w:pPr>
        <w:pStyle w:val="FootnoteText"/>
        <w:rPr>
          <w:sz w:val="18"/>
          <w:szCs w:val="18"/>
          <w:lang w:val="fr-FR"/>
        </w:rPr>
      </w:pPr>
      <w:r w:rsidRPr="001059DD">
        <w:rPr>
          <w:rStyle w:val="FootnoteReference"/>
          <w:sz w:val="16"/>
          <w:szCs w:val="18"/>
        </w:rPr>
        <w:footnoteRef/>
      </w:r>
      <w:r w:rsidRPr="00590CF8">
        <w:rPr>
          <w:sz w:val="16"/>
          <w:szCs w:val="18"/>
          <w:lang w:val="fr-FR"/>
        </w:rPr>
        <w:t xml:space="preserve"> Organisation internationale du Travail, Bureau d’appui à la consolidation de la paix, PNUD et Banque mondiale, « </w:t>
      </w:r>
      <w:proofErr w:type="spellStart"/>
      <w:r w:rsidRPr="00590CF8">
        <w:rPr>
          <w:sz w:val="16"/>
          <w:szCs w:val="18"/>
          <w:lang w:val="fr-FR"/>
        </w:rPr>
        <w:t>Employment</w:t>
      </w:r>
      <w:proofErr w:type="spellEnd"/>
      <w:r w:rsidRPr="00590CF8">
        <w:rPr>
          <w:sz w:val="16"/>
          <w:szCs w:val="18"/>
          <w:lang w:val="fr-FR"/>
        </w:rPr>
        <w:t xml:space="preserve"> Programmes and </w:t>
      </w:r>
      <w:proofErr w:type="spellStart"/>
      <w:proofErr w:type="gramStart"/>
      <w:r w:rsidRPr="00590CF8">
        <w:rPr>
          <w:sz w:val="16"/>
          <w:szCs w:val="18"/>
          <w:lang w:val="fr-FR"/>
        </w:rPr>
        <w:t>Peace</w:t>
      </w:r>
      <w:proofErr w:type="spellEnd"/>
      <w:r w:rsidRPr="00590CF8">
        <w:rPr>
          <w:sz w:val="16"/>
          <w:szCs w:val="18"/>
          <w:lang w:val="fr-FR"/>
        </w:rPr>
        <w:t>:</w:t>
      </w:r>
      <w:proofErr w:type="gramEnd"/>
      <w:r w:rsidRPr="00590CF8">
        <w:rPr>
          <w:sz w:val="16"/>
          <w:szCs w:val="18"/>
          <w:lang w:val="fr-FR"/>
        </w:rPr>
        <w:t xml:space="preserve"> A Joint </w:t>
      </w:r>
      <w:proofErr w:type="spellStart"/>
      <w:r w:rsidRPr="00590CF8">
        <w:rPr>
          <w:sz w:val="16"/>
          <w:szCs w:val="18"/>
          <w:lang w:val="fr-FR"/>
        </w:rPr>
        <w:t>Statement</w:t>
      </w:r>
      <w:proofErr w:type="spellEnd"/>
      <w:r w:rsidRPr="00590CF8">
        <w:rPr>
          <w:sz w:val="16"/>
          <w:szCs w:val="18"/>
          <w:lang w:val="fr-FR"/>
        </w:rPr>
        <w:t xml:space="preserve"> on an </w:t>
      </w:r>
      <w:proofErr w:type="spellStart"/>
      <w:r w:rsidRPr="00590CF8">
        <w:rPr>
          <w:sz w:val="16"/>
          <w:szCs w:val="18"/>
          <w:lang w:val="fr-FR"/>
        </w:rPr>
        <w:t>Analytical</w:t>
      </w:r>
      <w:proofErr w:type="spellEnd"/>
      <w:r w:rsidRPr="00590CF8">
        <w:rPr>
          <w:sz w:val="16"/>
          <w:szCs w:val="18"/>
          <w:lang w:val="fr-FR"/>
        </w:rPr>
        <w:t xml:space="preserve"> Framework, </w:t>
      </w:r>
      <w:proofErr w:type="spellStart"/>
      <w:r w:rsidRPr="00590CF8">
        <w:rPr>
          <w:sz w:val="16"/>
          <w:szCs w:val="18"/>
          <w:lang w:val="fr-FR"/>
        </w:rPr>
        <w:t>Emerging</w:t>
      </w:r>
      <w:proofErr w:type="spellEnd"/>
      <w:r w:rsidRPr="00590CF8">
        <w:rPr>
          <w:sz w:val="16"/>
          <w:szCs w:val="18"/>
          <w:lang w:val="fr-FR"/>
        </w:rPr>
        <w:t xml:space="preserve"> Principles for Action and Next </w:t>
      </w:r>
      <w:proofErr w:type="spellStart"/>
      <w:r w:rsidRPr="00590CF8">
        <w:rPr>
          <w:sz w:val="16"/>
          <w:szCs w:val="18"/>
          <w:lang w:val="fr-FR"/>
        </w:rPr>
        <w:t>Steps</w:t>
      </w:r>
      <w:proofErr w:type="spellEnd"/>
      <w:r w:rsidRPr="00590CF8">
        <w:rPr>
          <w:sz w:val="16"/>
          <w:szCs w:val="18"/>
          <w:lang w:val="fr-FR"/>
        </w:rPr>
        <w:t xml:space="preserve"> », septembre 2016, disponible à www.ilo.org/wcmsp 5/groups/public/---</w:t>
      </w:r>
      <w:proofErr w:type="spellStart"/>
      <w:r w:rsidRPr="00590CF8">
        <w:rPr>
          <w:sz w:val="16"/>
          <w:szCs w:val="18"/>
          <w:lang w:val="fr-FR"/>
        </w:rPr>
        <w:t>dgreports</w:t>
      </w:r>
      <w:proofErr w:type="spellEnd"/>
      <w:r w:rsidRPr="00590CF8">
        <w:rPr>
          <w:sz w:val="16"/>
          <w:szCs w:val="18"/>
          <w:lang w:val="fr-FR"/>
        </w:rPr>
        <w:t>/---</w:t>
      </w:r>
      <w:proofErr w:type="spellStart"/>
      <w:r w:rsidRPr="00590CF8">
        <w:rPr>
          <w:sz w:val="16"/>
          <w:szCs w:val="18"/>
          <w:lang w:val="fr-FR"/>
        </w:rPr>
        <w:t>dcomm</w:t>
      </w:r>
      <w:proofErr w:type="spellEnd"/>
      <w:r w:rsidRPr="00590CF8">
        <w:rPr>
          <w:sz w:val="16"/>
          <w:szCs w:val="18"/>
          <w:lang w:val="fr-FR"/>
        </w:rPr>
        <w:t>/documents/</w:t>
      </w:r>
      <w:proofErr w:type="spellStart"/>
      <w:r w:rsidRPr="00590CF8">
        <w:rPr>
          <w:sz w:val="16"/>
          <w:szCs w:val="18"/>
          <w:lang w:val="fr-FR"/>
        </w:rPr>
        <w:t>statement</w:t>
      </w:r>
      <w:proofErr w:type="spellEnd"/>
      <w:r w:rsidRPr="00590CF8">
        <w:rPr>
          <w:sz w:val="16"/>
          <w:szCs w:val="18"/>
          <w:lang w:val="fr-FR"/>
        </w:rPr>
        <w:t xml:space="preserve">/wcms_535665.pdf </w:t>
      </w:r>
    </w:p>
  </w:footnote>
  <w:footnote w:id="2">
    <w:p w14:paraId="3967EE58" w14:textId="77777777" w:rsidR="000F28A0" w:rsidRPr="00590CF8" w:rsidRDefault="000F28A0" w:rsidP="000F28A0">
      <w:pPr>
        <w:pStyle w:val="FootnoteText"/>
        <w:rPr>
          <w:sz w:val="16"/>
          <w:szCs w:val="18"/>
          <w:lang w:val="fr-FR"/>
        </w:rPr>
      </w:pPr>
      <w:r w:rsidRPr="00313054">
        <w:rPr>
          <w:rStyle w:val="FootnoteReference"/>
          <w:sz w:val="16"/>
          <w:szCs w:val="18"/>
        </w:rPr>
        <w:footnoteRef/>
      </w:r>
      <w:r w:rsidRPr="00590CF8">
        <w:rPr>
          <w:sz w:val="16"/>
          <w:szCs w:val="18"/>
          <w:lang w:val="fr-FR"/>
        </w:rPr>
        <w:t xml:space="preserve"> Ibid. </w:t>
      </w:r>
    </w:p>
  </w:footnote>
  <w:footnote w:id="3">
    <w:p w14:paraId="632F7AA3" w14:textId="77777777" w:rsidR="000F28A0" w:rsidRPr="00313054" w:rsidRDefault="000F28A0" w:rsidP="000F28A0">
      <w:pPr>
        <w:pStyle w:val="FootnoteText"/>
        <w:rPr>
          <w:rFonts w:cs="Calibri"/>
          <w:sz w:val="16"/>
          <w:szCs w:val="18"/>
        </w:rPr>
      </w:pPr>
      <w:r w:rsidRPr="00313054">
        <w:rPr>
          <w:rStyle w:val="FootnoteReference"/>
          <w:sz w:val="16"/>
          <w:szCs w:val="18"/>
        </w:rPr>
        <w:footnoteRef/>
      </w:r>
      <w:r w:rsidRPr="00590CF8">
        <w:rPr>
          <w:rFonts w:cs="Calibri"/>
          <w:iCs/>
          <w:sz w:val="16"/>
          <w:szCs w:val="18"/>
          <w:lang w:val="fr-FR"/>
        </w:rPr>
        <w:t xml:space="preserve">Delphine </w:t>
      </w:r>
      <w:proofErr w:type="spellStart"/>
      <w:r w:rsidRPr="00590CF8">
        <w:rPr>
          <w:rFonts w:cs="Calibri"/>
          <w:iCs/>
          <w:sz w:val="16"/>
          <w:szCs w:val="18"/>
          <w:lang w:val="fr-FR"/>
        </w:rPr>
        <w:t>Mechoulan</w:t>
      </w:r>
      <w:proofErr w:type="spellEnd"/>
      <w:r w:rsidRPr="00590CF8">
        <w:rPr>
          <w:rFonts w:cs="Calibri"/>
          <w:iCs/>
          <w:sz w:val="16"/>
          <w:szCs w:val="18"/>
          <w:lang w:val="fr-FR"/>
        </w:rPr>
        <w:t xml:space="preserve">, Youssef Mahmoud, Andrea Ó </w:t>
      </w:r>
      <w:proofErr w:type="spellStart"/>
      <w:r w:rsidRPr="00590CF8">
        <w:rPr>
          <w:rFonts w:cs="Calibri"/>
          <w:iCs/>
          <w:sz w:val="16"/>
          <w:szCs w:val="18"/>
          <w:lang w:val="fr-FR"/>
        </w:rPr>
        <w:t>Súilleabháin</w:t>
      </w:r>
      <w:proofErr w:type="spellEnd"/>
      <w:r w:rsidRPr="00590CF8">
        <w:rPr>
          <w:rFonts w:cs="Calibri"/>
          <w:iCs/>
          <w:sz w:val="16"/>
          <w:szCs w:val="18"/>
          <w:lang w:val="fr-FR"/>
        </w:rPr>
        <w:t xml:space="preserve"> et </w:t>
      </w:r>
      <w:proofErr w:type="spellStart"/>
      <w:proofErr w:type="gramStart"/>
      <w:r w:rsidRPr="00590CF8">
        <w:rPr>
          <w:rFonts w:cs="Calibri"/>
          <w:iCs/>
          <w:sz w:val="16"/>
          <w:szCs w:val="18"/>
          <w:lang w:val="fr-FR"/>
        </w:rPr>
        <w:t>JimenaLeivaRoesch</w:t>
      </w:r>
      <w:proofErr w:type="spellEnd"/>
      <w:r w:rsidRPr="00590CF8">
        <w:rPr>
          <w:rFonts w:cs="Calibri"/>
          <w:iCs/>
          <w:sz w:val="16"/>
          <w:szCs w:val="18"/>
          <w:lang w:val="fr-FR"/>
        </w:rPr>
        <w:t>,“</w:t>
      </w:r>
      <w:proofErr w:type="gramEnd"/>
      <w:r w:rsidRPr="00590CF8">
        <w:rPr>
          <w:rFonts w:cs="Calibri"/>
          <w:i/>
          <w:sz w:val="16"/>
          <w:szCs w:val="18"/>
          <w:lang w:val="fr-FR"/>
        </w:rPr>
        <w:t>La pérennisation de la paix et l’ODD relatif à l’égalité des sexes »</w:t>
      </w:r>
      <w:r w:rsidRPr="00590CF8">
        <w:rPr>
          <w:rFonts w:cs="Calibri"/>
          <w:sz w:val="16"/>
          <w:szCs w:val="18"/>
          <w:lang w:val="fr-FR"/>
        </w:rPr>
        <w:t xml:space="preserve">, in </w:t>
      </w:r>
      <w:r w:rsidRPr="00590CF8">
        <w:rPr>
          <w:rFonts w:cs="Calibri"/>
          <w:i/>
          <w:sz w:val="16"/>
          <w:szCs w:val="18"/>
          <w:lang w:val="fr-FR"/>
        </w:rPr>
        <w:t xml:space="preserve">« Construire à partir du positif : Vers une logique de pérennisation de la paix », chapitre.2, p. 15. </w:t>
      </w:r>
      <w:r w:rsidRPr="00313054">
        <w:rPr>
          <w:rFonts w:cs="Calibri"/>
          <w:color w:val="242021"/>
          <w:sz w:val="16"/>
          <w:szCs w:val="18"/>
        </w:rPr>
        <w:t>International Peace Institute, 2018</w:t>
      </w:r>
    </w:p>
  </w:footnote>
  <w:footnote w:id="4">
    <w:p w14:paraId="2F80A2CC" w14:textId="77777777" w:rsidR="000F28A0" w:rsidRPr="00313054" w:rsidRDefault="000F28A0" w:rsidP="000F28A0">
      <w:pPr>
        <w:pStyle w:val="FootnoteText"/>
        <w:rPr>
          <w:sz w:val="16"/>
          <w:szCs w:val="18"/>
        </w:rPr>
      </w:pPr>
      <w:r w:rsidRPr="00313054">
        <w:rPr>
          <w:rStyle w:val="FootnoteReference"/>
          <w:sz w:val="16"/>
          <w:szCs w:val="18"/>
        </w:rPr>
        <w:footnoteRef/>
      </w:r>
      <w:r w:rsidRPr="00313054">
        <w:rPr>
          <w:sz w:val="16"/>
          <w:szCs w:val="18"/>
        </w:rPr>
        <w:t xml:space="preserve"> Ibid.</w:t>
      </w:r>
    </w:p>
  </w:footnote>
  <w:footnote w:id="5">
    <w:p w14:paraId="74F22EF1" w14:textId="77777777" w:rsidR="000F28A0" w:rsidRPr="00AB1418" w:rsidRDefault="000F28A0" w:rsidP="000F28A0">
      <w:pPr>
        <w:pStyle w:val="FootnoteText"/>
        <w:rPr>
          <w:sz w:val="18"/>
          <w:szCs w:val="18"/>
        </w:rPr>
      </w:pPr>
      <w:r w:rsidRPr="00313054">
        <w:rPr>
          <w:rStyle w:val="FootnoteReference"/>
          <w:sz w:val="16"/>
          <w:szCs w:val="18"/>
        </w:rPr>
        <w:footnoteRef/>
      </w:r>
      <w:r w:rsidRPr="00313054">
        <w:rPr>
          <w:sz w:val="16"/>
          <w:szCs w:val="18"/>
        </w:rPr>
        <w:t xml:space="preserve"> Ibid.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5B0A"/>
    <w:multiLevelType w:val="hybridMultilevel"/>
    <w:tmpl w:val="C70243B4"/>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0543F0"/>
    <w:multiLevelType w:val="multilevel"/>
    <w:tmpl w:val="01AEC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CD0517"/>
    <w:multiLevelType w:val="multilevel"/>
    <w:tmpl w:val="0478B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663CD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DCE5885"/>
    <w:multiLevelType w:val="multilevel"/>
    <w:tmpl w:val="80D27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77601C"/>
    <w:multiLevelType w:val="hybridMultilevel"/>
    <w:tmpl w:val="64A6D436"/>
    <w:lvl w:ilvl="0" w:tplc="45EA97F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9191779"/>
    <w:multiLevelType w:val="hybridMultilevel"/>
    <w:tmpl w:val="7DAE2256"/>
    <w:lvl w:ilvl="0" w:tplc="040C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8568FC"/>
    <w:multiLevelType w:val="hybridMultilevel"/>
    <w:tmpl w:val="B18E23F2"/>
    <w:lvl w:ilvl="0" w:tplc="6A2EC956">
      <w:start w:val="1"/>
      <w:numFmt w:val="decimal"/>
      <w:lvlText w:val="%1)"/>
      <w:lvlJc w:val="left"/>
      <w:pPr>
        <w:ind w:left="720" w:hanging="360"/>
      </w:pPr>
      <w:rPr>
        <w:rFonts w:ascii="Calibri" w:eastAsia="Calibri" w:hAnsi="Calibri" w:cs="Calibri"/>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6B64797"/>
    <w:multiLevelType w:val="hybridMultilevel"/>
    <w:tmpl w:val="4320972C"/>
    <w:lvl w:ilvl="0" w:tplc="040C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6"/>
  </w:num>
  <w:num w:numId="5">
    <w:abstractNumId w:val="8"/>
  </w:num>
  <w:num w:numId="6">
    <w:abstractNumId w:val="0"/>
  </w:num>
  <w:num w:numId="7">
    <w:abstractNumId w:val="1"/>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4D0"/>
    <w:rsid w:val="000F28A0"/>
    <w:rsid w:val="002554D0"/>
    <w:rsid w:val="00914A16"/>
    <w:rsid w:val="00C927D5"/>
    <w:rsid w:val="00F613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4B366"/>
  <w15:chartTrackingRefBased/>
  <w15:docId w15:val="{61810C6F-6A52-4EBD-8260-5B4CC51A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8A0"/>
    <w:rPr>
      <w:rFonts w:eastAsiaTheme="minorEastAsia"/>
      <w:lang w:val="de-D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28A0"/>
    <w:pPr>
      <w:spacing w:after="0" w:line="240" w:lineRule="auto"/>
    </w:pPr>
    <w:rPr>
      <w:rFonts w:eastAsiaTheme="minorEastAsia"/>
      <w:lang w:val="de-DE"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F28A0"/>
    <w:rPr>
      <w:color w:val="0000FF"/>
      <w:u w:val="single"/>
    </w:rPr>
  </w:style>
  <w:style w:type="paragraph" w:customStyle="1" w:styleId="HEADING">
    <w:name w:val="HEADING"/>
    <w:basedOn w:val="Normal"/>
    <w:link w:val="HEADINGChar"/>
    <w:qFormat/>
    <w:rsid w:val="000F28A0"/>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customStyle="1" w:styleId="HEADINGChar">
    <w:name w:val="HEADING Char"/>
    <w:basedOn w:val="DefaultParagraphFont"/>
    <w:link w:val="HEADING"/>
    <w:rsid w:val="000F28A0"/>
    <w:rPr>
      <w:rFonts w:ascii="Calibri" w:eastAsia="Times New Roman" w:hAnsi="Calibri" w:cs="Times New Roman"/>
      <w:b/>
      <w:color w:val="262626"/>
      <w:sz w:val="36"/>
      <w:szCs w:val="40"/>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0F28A0"/>
    <w:pPr>
      <w:spacing w:after="0" w:line="240" w:lineRule="auto"/>
      <w:ind w:left="720"/>
    </w:pPr>
    <w:rPr>
      <w:rFonts w:ascii="Times New Roman" w:eastAsia="Times New Roman" w:hAnsi="Times New Roman" w:cs="Times New Roman"/>
      <w:sz w:val="20"/>
      <w:szCs w:val="20"/>
      <w:lang w:val="en-US" w:eastAsia="en-US"/>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qFormat/>
    <w:locked/>
    <w:rsid w:val="000F28A0"/>
    <w:rPr>
      <w:rFonts w:ascii="Times New Roman" w:eastAsia="Times New Roman" w:hAnsi="Times New Roman" w:cs="Times New Roman"/>
      <w:sz w:val="20"/>
      <w:szCs w:val="20"/>
    </w:rPr>
  </w:style>
  <w:style w:type="paragraph" w:styleId="FootnoteText">
    <w:name w:val="footnote text"/>
    <w:basedOn w:val="Normal"/>
    <w:link w:val="FootnoteTextChar"/>
    <w:uiPriority w:val="99"/>
    <w:unhideWhenUsed/>
    <w:rsid w:val="000F28A0"/>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basedOn w:val="DefaultParagraphFont"/>
    <w:link w:val="FootnoteText"/>
    <w:uiPriority w:val="99"/>
    <w:rsid w:val="000F28A0"/>
    <w:rPr>
      <w:rFonts w:ascii="Times New Roman" w:eastAsia="Times New Roman" w:hAnsi="Times New Roman" w:cs="Times New Roman"/>
      <w:sz w:val="20"/>
      <w:szCs w:val="20"/>
    </w:rPr>
  </w:style>
  <w:style w:type="character" w:styleId="FootnoteReference">
    <w:name w:val="footnote reference"/>
    <w:aliases w:val="ftref"/>
    <w:uiPriority w:val="99"/>
    <w:rsid w:val="000F28A0"/>
    <w:rPr>
      <w:vertAlign w:val="superscript"/>
    </w:rPr>
  </w:style>
  <w:style w:type="character" w:customStyle="1" w:styleId="jlqj4b">
    <w:name w:val="jlqj4b"/>
    <w:basedOn w:val="DefaultParagraphFont"/>
    <w:rsid w:val="000F28A0"/>
  </w:style>
  <w:style w:type="character" w:customStyle="1" w:styleId="fontstyle21">
    <w:name w:val="fontstyle21"/>
    <w:rsid w:val="000F28A0"/>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nwomen.sharepoint.com/management/Procurement/Guidelines/PREPARATION%20OF%20TOR%20-%20guidelin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3285</Words>
  <Characters>18730</Characters>
  <Application>Microsoft Office Word</Application>
  <DocSecurity>0</DocSecurity>
  <Lines>156</Lines>
  <Paragraphs>43</Paragraphs>
  <ScaleCrop>false</ScaleCrop>
  <Company/>
  <LinksUpToDate>false</LinksUpToDate>
  <CharactersWithSpaces>21972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Afraa Fdhil</dc:creator>
  <cp:keywords/>
  <dc:description/>
  <cp:lastModifiedBy>Afraa Fdhil</cp:lastModifiedBy>
  <cp:revision>2</cp:revision>
  <dcterms:created xsi:type="dcterms:W3CDTF">2021-08-16T14:50:00Z</dcterms:created>
  <dcterms:modified xsi:type="dcterms:W3CDTF">2021-08-16T14:50:00Z</dcterms:modified>
</cp:coreProperties>
</file>