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3E274" w14:textId="5AA9E420" w:rsidR="00B7333C" w:rsidRPr="0035237B" w:rsidRDefault="00B7333C" w:rsidP="008E325E">
      <w:pPr>
        <w:pStyle w:val="Heading1"/>
        <w:rPr>
          <w:rFonts w:cstheme="majorHAnsi"/>
          <w:b/>
          <w:bCs/>
          <w:color w:val="auto"/>
        </w:rPr>
      </w:pPr>
      <w:r w:rsidRPr="0035237B">
        <w:rPr>
          <w:rFonts w:cstheme="majorHAnsi"/>
          <w:b/>
          <w:bCs/>
          <w:color w:val="auto"/>
        </w:rPr>
        <w:t xml:space="preserve">ANNEX </w:t>
      </w:r>
      <w:r w:rsidR="008E325E" w:rsidRPr="0035237B">
        <w:rPr>
          <w:rFonts w:cstheme="majorHAnsi"/>
          <w:b/>
          <w:bCs/>
          <w:color w:val="auto"/>
        </w:rPr>
        <w:t>B</w:t>
      </w:r>
      <w:r w:rsidRPr="0035237B">
        <w:rPr>
          <w:rFonts w:cstheme="majorHAnsi"/>
          <w:b/>
          <w:bCs/>
          <w:color w:val="auto"/>
        </w:rPr>
        <w:t xml:space="preserve"> – SCOPE OF WORKS (SoW)</w:t>
      </w:r>
    </w:p>
    <w:p w14:paraId="765CF693" w14:textId="77777777" w:rsidR="00126446" w:rsidRPr="0035237B" w:rsidRDefault="00126446" w:rsidP="00126446">
      <w:pPr>
        <w:pStyle w:val="NoSpacing"/>
      </w:pPr>
    </w:p>
    <w:p w14:paraId="038606AA" w14:textId="10372CE6" w:rsidR="00775BB7" w:rsidRPr="0035237B" w:rsidRDefault="00B7333C" w:rsidP="00B7333C">
      <w:p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This is a generic Scope of works for various </w:t>
      </w:r>
      <w:r w:rsidR="00CE16C8">
        <w:rPr>
          <w:rFonts w:asciiTheme="majorHAnsi" w:hAnsiTheme="majorHAnsi" w:cstheme="majorHAnsi"/>
        </w:rPr>
        <w:t>community</w:t>
      </w:r>
      <w:r w:rsidR="00214C48" w:rsidRPr="0035237B">
        <w:rPr>
          <w:rFonts w:asciiTheme="majorHAnsi" w:hAnsiTheme="majorHAnsi" w:cstheme="majorHAnsi"/>
        </w:rPr>
        <w:t xml:space="preserve"> infrastructure</w:t>
      </w:r>
      <w:r w:rsidR="00CE16C8">
        <w:rPr>
          <w:rFonts w:asciiTheme="majorHAnsi" w:hAnsiTheme="majorHAnsi" w:cstheme="majorHAnsi"/>
        </w:rPr>
        <w:t xml:space="preserve"> structures</w:t>
      </w:r>
      <w:r w:rsidRPr="0035237B">
        <w:rPr>
          <w:rFonts w:asciiTheme="majorHAnsi" w:hAnsiTheme="majorHAnsi" w:cstheme="majorHAnsi"/>
        </w:rPr>
        <w:t xml:space="preserve"> under the South Sudan ECRP</w:t>
      </w:r>
      <w:r w:rsidR="00D867A6" w:rsidRPr="0035237B">
        <w:rPr>
          <w:rFonts w:asciiTheme="majorHAnsi" w:hAnsiTheme="majorHAnsi" w:cstheme="majorHAnsi"/>
        </w:rPr>
        <w:t xml:space="preserve"> </w:t>
      </w:r>
      <w:r w:rsidRPr="0035237B">
        <w:rPr>
          <w:rFonts w:asciiTheme="majorHAnsi" w:hAnsiTheme="majorHAnsi" w:cstheme="majorHAnsi"/>
        </w:rPr>
        <w:t xml:space="preserve">project. </w:t>
      </w:r>
      <w:r w:rsidR="0095403A" w:rsidRPr="0035237B">
        <w:rPr>
          <w:rFonts w:asciiTheme="majorHAnsi" w:hAnsiTheme="majorHAnsi" w:cstheme="majorHAnsi"/>
        </w:rPr>
        <w:t xml:space="preserve">ECRP </w:t>
      </w:r>
      <w:r w:rsidR="0088386A" w:rsidRPr="0035237B">
        <w:rPr>
          <w:rFonts w:asciiTheme="majorHAnsi" w:hAnsiTheme="majorHAnsi" w:cstheme="majorHAnsi"/>
        </w:rPr>
        <w:t>(</w:t>
      </w:r>
      <w:r w:rsidR="0095403A" w:rsidRPr="0035237B">
        <w:rPr>
          <w:rFonts w:asciiTheme="majorHAnsi" w:hAnsiTheme="majorHAnsi" w:cstheme="majorHAnsi"/>
        </w:rPr>
        <w:t xml:space="preserve">Enhancing Community Resilience and Local Governance </w:t>
      </w:r>
      <w:r w:rsidR="005B0434" w:rsidRPr="0035237B">
        <w:rPr>
          <w:rFonts w:asciiTheme="majorHAnsi" w:hAnsiTheme="majorHAnsi" w:cstheme="majorHAnsi"/>
        </w:rPr>
        <w:t>Project</w:t>
      </w:r>
      <w:r w:rsidR="0088386A" w:rsidRPr="0035237B">
        <w:rPr>
          <w:rFonts w:asciiTheme="majorHAnsi" w:hAnsiTheme="majorHAnsi" w:cstheme="majorHAnsi"/>
        </w:rPr>
        <w:t>)</w:t>
      </w:r>
      <w:r w:rsidR="005B0434" w:rsidRPr="0035237B">
        <w:rPr>
          <w:rFonts w:asciiTheme="majorHAnsi" w:hAnsiTheme="majorHAnsi" w:cstheme="majorHAnsi"/>
        </w:rPr>
        <w:t xml:space="preserve"> is providing </w:t>
      </w:r>
      <w:r w:rsidR="00F43C8C" w:rsidRPr="0035237B">
        <w:rPr>
          <w:rFonts w:asciiTheme="majorHAnsi" w:hAnsiTheme="majorHAnsi" w:cstheme="majorHAnsi"/>
        </w:rPr>
        <w:t>training to boma and payam level development committees w</w:t>
      </w:r>
      <w:r w:rsidR="00CE2DE1" w:rsidRPr="0035237B">
        <w:rPr>
          <w:rFonts w:asciiTheme="majorHAnsi" w:hAnsiTheme="majorHAnsi" w:cstheme="majorHAnsi"/>
        </w:rPr>
        <w:t>hich</w:t>
      </w:r>
      <w:r w:rsidR="00F43C8C" w:rsidRPr="0035237B">
        <w:rPr>
          <w:rFonts w:asciiTheme="majorHAnsi" w:hAnsiTheme="majorHAnsi" w:cstheme="majorHAnsi"/>
        </w:rPr>
        <w:t xml:space="preserve"> have prioritized</w:t>
      </w:r>
      <w:r w:rsidR="00C23786" w:rsidRPr="0035237B">
        <w:rPr>
          <w:rFonts w:asciiTheme="majorHAnsi" w:hAnsiTheme="majorHAnsi" w:cstheme="majorHAnsi"/>
        </w:rPr>
        <w:t xml:space="preserve"> </w:t>
      </w:r>
      <w:r w:rsidR="005B0434" w:rsidRPr="0035237B">
        <w:rPr>
          <w:rFonts w:asciiTheme="majorHAnsi" w:hAnsiTheme="majorHAnsi" w:cstheme="majorHAnsi"/>
        </w:rPr>
        <w:t>infrastructure</w:t>
      </w:r>
      <w:r w:rsidR="00C23786" w:rsidRPr="0035237B">
        <w:rPr>
          <w:rFonts w:asciiTheme="majorHAnsi" w:hAnsiTheme="majorHAnsi" w:cstheme="majorHAnsi"/>
        </w:rPr>
        <w:t xml:space="preserve"> </w:t>
      </w:r>
      <w:r w:rsidR="001B1A66" w:rsidRPr="0035237B">
        <w:rPr>
          <w:rFonts w:asciiTheme="majorHAnsi" w:hAnsiTheme="majorHAnsi" w:cstheme="majorHAnsi"/>
        </w:rPr>
        <w:t xml:space="preserve">for selected payams in </w:t>
      </w:r>
      <w:r w:rsidR="006F5FBA" w:rsidRPr="0035237B">
        <w:rPr>
          <w:rFonts w:asciiTheme="majorHAnsi" w:hAnsiTheme="majorHAnsi" w:cstheme="majorHAnsi"/>
        </w:rPr>
        <w:t xml:space="preserve">eight Counties and two Administrative Areas. </w:t>
      </w:r>
      <w:r w:rsidR="00B418F2" w:rsidRPr="0035237B">
        <w:rPr>
          <w:rFonts w:asciiTheme="majorHAnsi" w:hAnsiTheme="majorHAnsi" w:cstheme="majorHAnsi"/>
        </w:rPr>
        <w:t>The works will be carried out in 10 “ECRP Project Locations</w:t>
      </w:r>
      <w:r w:rsidR="006C1A8B" w:rsidRPr="0035237B">
        <w:rPr>
          <w:rFonts w:asciiTheme="majorHAnsi" w:hAnsiTheme="majorHAnsi" w:cstheme="majorHAnsi"/>
        </w:rPr>
        <w:t>”</w:t>
      </w:r>
      <w:r w:rsidR="00775BB7" w:rsidRPr="0035237B">
        <w:rPr>
          <w:rFonts w:asciiTheme="majorHAnsi" w:hAnsiTheme="majorHAnsi" w:cstheme="majorHAnsi"/>
        </w:rPr>
        <w:t xml:space="preserve"> which </w:t>
      </w:r>
      <w:r w:rsidR="00C8401E" w:rsidRPr="0035237B">
        <w:rPr>
          <w:rFonts w:asciiTheme="majorHAnsi" w:hAnsiTheme="majorHAnsi" w:cstheme="majorHAnsi"/>
        </w:rPr>
        <w:t>are</w:t>
      </w:r>
      <w:r w:rsidR="00775BB7" w:rsidRPr="0035237B">
        <w:rPr>
          <w:rFonts w:asciiTheme="majorHAnsi" w:hAnsiTheme="majorHAnsi" w:cstheme="majorHAnsi"/>
        </w:rPr>
        <w:t>:</w:t>
      </w:r>
    </w:p>
    <w:p w14:paraId="7E24F109" w14:textId="6DE7C81D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Wau County</w:t>
      </w:r>
    </w:p>
    <w:p w14:paraId="6D185BEF" w14:textId="1BAAA0CA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Raja County</w:t>
      </w:r>
    </w:p>
    <w:p w14:paraId="5F0992F1" w14:textId="0A16B7B5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Pariang County</w:t>
      </w:r>
    </w:p>
    <w:p w14:paraId="1815CDBF" w14:textId="5F8225C9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Rubkona County</w:t>
      </w:r>
    </w:p>
    <w:p w14:paraId="5943AD92" w14:textId="63C98777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Leer County</w:t>
      </w:r>
    </w:p>
    <w:p w14:paraId="11FFD2C7" w14:textId="2ADE5CD5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Ba</w:t>
      </w:r>
      <w:r w:rsidR="006D48E3" w:rsidRPr="0035237B">
        <w:rPr>
          <w:rFonts w:asciiTheme="majorHAnsi" w:hAnsiTheme="majorHAnsi" w:cstheme="majorHAnsi"/>
        </w:rPr>
        <w:t>li</w:t>
      </w:r>
      <w:r w:rsidRPr="0035237B">
        <w:rPr>
          <w:rFonts w:asciiTheme="majorHAnsi" w:hAnsiTheme="majorHAnsi" w:cstheme="majorHAnsi"/>
        </w:rPr>
        <w:t>et County</w:t>
      </w:r>
    </w:p>
    <w:p w14:paraId="619CA4E4" w14:textId="15AE9AD9" w:rsidR="00775BB7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Fashoda County</w:t>
      </w:r>
    </w:p>
    <w:p w14:paraId="66773565" w14:textId="444DA0E1" w:rsidR="00B66BD7" w:rsidRPr="0035237B" w:rsidRDefault="00B66BD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Renk County</w:t>
      </w:r>
    </w:p>
    <w:p w14:paraId="61C7B10C" w14:textId="16800891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Maban County</w:t>
      </w:r>
    </w:p>
    <w:p w14:paraId="381B0363" w14:textId="266FCAAB" w:rsidR="00775BB7" w:rsidRPr="0035237B" w:rsidRDefault="00775BB7" w:rsidP="00775BB7">
      <w:pPr>
        <w:pStyle w:val="ListParagraph"/>
        <w:numPr>
          <w:ilvl w:val="0"/>
          <w:numId w:val="12"/>
        </w:num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Pibor Administrative Area</w:t>
      </w:r>
    </w:p>
    <w:p w14:paraId="2067EF58" w14:textId="115359FB" w:rsidR="00E76E9B" w:rsidRPr="0035237B" w:rsidRDefault="00B7333C" w:rsidP="00775BB7">
      <w:p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The detailed scope </w:t>
      </w:r>
      <w:r w:rsidR="008E325E" w:rsidRPr="0035237B">
        <w:rPr>
          <w:rFonts w:asciiTheme="majorHAnsi" w:hAnsiTheme="majorHAnsi" w:cstheme="majorHAnsi"/>
        </w:rPr>
        <w:t>for each project</w:t>
      </w:r>
      <w:r w:rsidR="006D48E3" w:rsidRPr="0035237B">
        <w:rPr>
          <w:rFonts w:asciiTheme="majorHAnsi" w:hAnsiTheme="majorHAnsi" w:cstheme="majorHAnsi"/>
        </w:rPr>
        <w:t>,</w:t>
      </w:r>
      <w:r w:rsidR="008E325E" w:rsidRPr="0035237B">
        <w:rPr>
          <w:rFonts w:asciiTheme="majorHAnsi" w:hAnsiTheme="majorHAnsi" w:cstheme="majorHAnsi"/>
        </w:rPr>
        <w:t xml:space="preserve"> </w:t>
      </w:r>
      <w:r w:rsidR="00E76E9B" w:rsidRPr="0035237B">
        <w:rPr>
          <w:rFonts w:asciiTheme="majorHAnsi" w:hAnsiTheme="majorHAnsi" w:cstheme="majorHAnsi"/>
        </w:rPr>
        <w:t xml:space="preserve">including bill of quantities, drawings and specifications </w:t>
      </w:r>
      <w:r w:rsidRPr="0035237B">
        <w:rPr>
          <w:rFonts w:asciiTheme="majorHAnsi" w:hAnsiTheme="majorHAnsi" w:cstheme="majorHAnsi"/>
        </w:rPr>
        <w:t xml:space="preserve">will be provided </w:t>
      </w:r>
      <w:r w:rsidR="008E325E" w:rsidRPr="0035237B">
        <w:rPr>
          <w:rFonts w:asciiTheme="majorHAnsi" w:hAnsiTheme="majorHAnsi" w:cstheme="majorHAnsi"/>
        </w:rPr>
        <w:t xml:space="preserve">to eligible and qualified </w:t>
      </w:r>
      <w:r w:rsidR="00E76E9B" w:rsidRPr="0035237B">
        <w:rPr>
          <w:rFonts w:asciiTheme="majorHAnsi" w:hAnsiTheme="majorHAnsi" w:cstheme="majorHAnsi"/>
        </w:rPr>
        <w:t>Companies for bidding</w:t>
      </w:r>
      <w:r w:rsidRPr="0035237B">
        <w:rPr>
          <w:rFonts w:asciiTheme="majorHAnsi" w:hAnsiTheme="majorHAnsi" w:cstheme="majorHAnsi"/>
        </w:rPr>
        <w:t xml:space="preserve">. </w:t>
      </w:r>
    </w:p>
    <w:p w14:paraId="7192CFC9" w14:textId="4DF1CE53" w:rsidR="00393405" w:rsidRPr="0035237B" w:rsidRDefault="00393405" w:rsidP="00393405">
      <w:pPr>
        <w:pStyle w:val="Heading2"/>
        <w:rPr>
          <w:rFonts w:cstheme="majorHAnsi"/>
          <w:b/>
          <w:bCs/>
          <w:color w:val="auto"/>
        </w:rPr>
      </w:pPr>
      <w:r w:rsidRPr="0035237B">
        <w:rPr>
          <w:rFonts w:cstheme="majorHAnsi"/>
          <w:b/>
          <w:bCs/>
          <w:color w:val="auto"/>
        </w:rPr>
        <w:t>Project Types</w:t>
      </w:r>
    </w:p>
    <w:p w14:paraId="1B283933" w14:textId="77777777" w:rsidR="00126446" w:rsidRPr="0035237B" w:rsidRDefault="00126446" w:rsidP="00126446">
      <w:pPr>
        <w:pStyle w:val="NoSpacing"/>
      </w:pPr>
    </w:p>
    <w:p w14:paraId="63CA483B" w14:textId="0146FB6D" w:rsidR="00716A6F" w:rsidRPr="0035237B" w:rsidRDefault="00B7333C" w:rsidP="00716A6F">
      <w:p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The scope of the project will include</w:t>
      </w:r>
      <w:r w:rsidR="009E6491" w:rsidRPr="0035237B">
        <w:rPr>
          <w:rFonts w:asciiTheme="majorHAnsi" w:hAnsiTheme="majorHAnsi" w:cstheme="majorHAnsi"/>
        </w:rPr>
        <w:t>:</w:t>
      </w:r>
    </w:p>
    <w:p w14:paraId="09FB444F" w14:textId="0B53E3B7" w:rsidR="003D71EF" w:rsidRPr="0035237B" w:rsidRDefault="00344F49" w:rsidP="00956B9A">
      <w:pPr>
        <w:pStyle w:val="ListParagraph"/>
        <w:numPr>
          <w:ilvl w:val="0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New construction and rehabilitation of </w:t>
      </w:r>
      <w:r w:rsidR="0088090A" w:rsidRPr="0035237B">
        <w:rPr>
          <w:rFonts w:asciiTheme="majorHAnsi" w:hAnsiTheme="majorHAnsi" w:cstheme="majorHAnsi"/>
        </w:rPr>
        <w:t>reinforced concrete buildings and facilities</w:t>
      </w:r>
    </w:p>
    <w:p w14:paraId="3FB9346F" w14:textId="5103FB56" w:rsidR="00344F49" w:rsidRPr="0035237B" w:rsidRDefault="00BB5F9E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Ventilated Improved Pit (VIP) latrines</w:t>
      </w:r>
    </w:p>
    <w:p w14:paraId="0224CB86" w14:textId="51AC6324" w:rsidR="006D48E3" w:rsidRPr="0035237B" w:rsidRDefault="00BB5F9E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School buildings</w:t>
      </w:r>
    </w:p>
    <w:p w14:paraId="4A281EA9" w14:textId="7AAAC39A" w:rsidR="00B7333C" w:rsidRPr="0035237B" w:rsidRDefault="00BB5F9E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Community health centre buildings</w:t>
      </w:r>
    </w:p>
    <w:p w14:paraId="4DA2EE59" w14:textId="6C94312D" w:rsidR="00E11DF7" w:rsidRPr="0035237B" w:rsidRDefault="00BB5F9E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Community market sheds</w:t>
      </w:r>
    </w:p>
    <w:p w14:paraId="62DE0935" w14:textId="2BC4DFCD" w:rsidR="00740502" w:rsidRPr="0035237B" w:rsidRDefault="00BB5F9E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Other similar single-storey community building structures</w:t>
      </w:r>
    </w:p>
    <w:p w14:paraId="3ACA977C" w14:textId="4968FE88" w:rsidR="00A85114" w:rsidRPr="0035237B" w:rsidRDefault="00A85114" w:rsidP="00956B9A">
      <w:pPr>
        <w:pStyle w:val="ListParagraph"/>
        <w:numPr>
          <w:ilvl w:val="0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</w:t>
      </w:r>
      <w:r w:rsidR="00C66889" w:rsidRPr="0035237B">
        <w:rPr>
          <w:rFonts w:asciiTheme="majorHAnsi" w:hAnsiTheme="majorHAnsi" w:cstheme="majorHAnsi"/>
        </w:rPr>
        <w:t>urface water m</w:t>
      </w:r>
      <w:r w:rsidRPr="0035237B">
        <w:rPr>
          <w:rFonts w:asciiTheme="majorHAnsi" w:hAnsiTheme="majorHAnsi" w:cstheme="majorHAnsi"/>
        </w:rPr>
        <w:t xml:space="preserve">anagement </w:t>
      </w:r>
      <w:r w:rsidR="00C66889" w:rsidRPr="0035237B">
        <w:rPr>
          <w:rFonts w:asciiTheme="majorHAnsi" w:hAnsiTheme="majorHAnsi" w:cstheme="majorHAnsi"/>
        </w:rPr>
        <w:t>infrastructure</w:t>
      </w:r>
      <w:r w:rsidR="004D4640" w:rsidRPr="0035237B">
        <w:rPr>
          <w:rFonts w:asciiTheme="majorHAnsi" w:hAnsiTheme="majorHAnsi" w:cstheme="majorHAnsi"/>
        </w:rPr>
        <w:t xml:space="preserve"> (</w:t>
      </w:r>
      <w:r w:rsidR="00756A60">
        <w:rPr>
          <w:rFonts w:asciiTheme="majorHAnsi" w:hAnsiTheme="majorHAnsi" w:cstheme="majorHAnsi"/>
        </w:rPr>
        <w:t>using</w:t>
      </w:r>
      <w:r w:rsidR="00992291" w:rsidRPr="0035237B">
        <w:rPr>
          <w:rFonts w:asciiTheme="majorHAnsi" w:hAnsiTheme="majorHAnsi" w:cstheme="majorHAnsi"/>
        </w:rPr>
        <w:t xml:space="preserve"> </w:t>
      </w:r>
      <w:r w:rsidR="004D4640" w:rsidRPr="0035237B">
        <w:rPr>
          <w:rFonts w:asciiTheme="majorHAnsi" w:hAnsiTheme="majorHAnsi" w:cstheme="majorHAnsi"/>
        </w:rPr>
        <w:t xml:space="preserve">labour-intensive </w:t>
      </w:r>
      <w:r w:rsidR="005E7C19" w:rsidRPr="0035237B">
        <w:rPr>
          <w:rFonts w:asciiTheme="majorHAnsi" w:hAnsiTheme="majorHAnsi" w:cstheme="majorHAnsi"/>
        </w:rPr>
        <w:t>construction</w:t>
      </w:r>
      <w:r w:rsidR="00992291" w:rsidRPr="0035237B">
        <w:rPr>
          <w:rFonts w:asciiTheme="majorHAnsi" w:hAnsiTheme="majorHAnsi" w:cstheme="majorHAnsi"/>
        </w:rPr>
        <w:t xml:space="preserve"> methods</w:t>
      </w:r>
      <w:r w:rsidR="005E7C19" w:rsidRPr="0035237B">
        <w:rPr>
          <w:rFonts w:asciiTheme="majorHAnsi" w:hAnsiTheme="majorHAnsi" w:cstheme="majorHAnsi"/>
        </w:rPr>
        <w:t>)</w:t>
      </w:r>
    </w:p>
    <w:p w14:paraId="4D260795" w14:textId="5CDFF4D5" w:rsidR="00C66889" w:rsidRPr="0035237B" w:rsidRDefault="00C66889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Haffirs</w:t>
      </w:r>
    </w:p>
    <w:p w14:paraId="16C08398" w14:textId="6043EE07" w:rsidR="00C66889" w:rsidRPr="0035237B" w:rsidRDefault="00992291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Drainage channels</w:t>
      </w:r>
    </w:p>
    <w:p w14:paraId="290F660D" w14:textId="6B1890C2" w:rsidR="002F6CC6" w:rsidRPr="0035237B" w:rsidRDefault="002F6CC6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Dykes</w:t>
      </w:r>
    </w:p>
    <w:p w14:paraId="28764A7B" w14:textId="6A55ECA5" w:rsidR="00491C7C" w:rsidRPr="0035237B" w:rsidRDefault="00D95B4F" w:rsidP="00956B9A">
      <w:pPr>
        <w:pStyle w:val="ListParagraph"/>
        <w:numPr>
          <w:ilvl w:val="0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Footbridges (</w:t>
      </w:r>
      <w:r w:rsidR="00491C7C" w:rsidRPr="0035237B">
        <w:rPr>
          <w:rFonts w:asciiTheme="majorHAnsi" w:hAnsiTheme="majorHAnsi" w:cstheme="majorHAnsi"/>
        </w:rPr>
        <w:t>Pedestrian water crossings</w:t>
      </w:r>
      <w:r w:rsidR="00FE2C0C" w:rsidRPr="0035237B">
        <w:rPr>
          <w:rFonts w:asciiTheme="majorHAnsi" w:hAnsiTheme="majorHAnsi" w:cstheme="majorHAnsi"/>
        </w:rPr>
        <w:t>)</w:t>
      </w:r>
    </w:p>
    <w:p w14:paraId="13D43738" w14:textId="3FBDADA4" w:rsidR="00B81FA6" w:rsidRPr="0035237B" w:rsidRDefault="00B81FA6" w:rsidP="00956B9A">
      <w:pPr>
        <w:pStyle w:val="ListParagraph"/>
        <w:numPr>
          <w:ilvl w:val="1"/>
          <w:numId w:val="13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Small-scale </w:t>
      </w:r>
      <w:r w:rsidR="00FE2C0C" w:rsidRPr="0035237B">
        <w:rPr>
          <w:rFonts w:asciiTheme="majorHAnsi" w:hAnsiTheme="majorHAnsi" w:cstheme="majorHAnsi"/>
        </w:rPr>
        <w:t>foot</w:t>
      </w:r>
      <w:r w:rsidRPr="0035237B">
        <w:rPr>
          <w:rFonts w:asciiTheme="majorHAnsi" w:hAnsiTheme="majorHAnsi" w:cstheme="majorHAnsi"/>
        </w:rPr>
        <w:t xml:space="preserve">bridges for </w:t>
      </w:r>
      <w:r w:rsidR="00567BAE" w:rsidRPr="0035237B">
        <w:rPr>
          <w:rFonts w:asciiTheme="majorHAnsi" w:hAnsiTheme="majorHAnsi" w:cstheme="majorHAnsi"/>
        </w:rPr>
        <w:t>wet season pedestrian crossings</w:t>
      </w:r>
    </w:p>
    <w:p w14:paraId="243A11F6" w14:textId="75872B58" w:rsidR="002343A3" w:rsidRPr="0035237B" w:rsidRDefault="002343A3" w:rsidP="00393405">
      <w:p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IOM South Sudan therefore </w:t>
      </w:r>
      <w:r w:rsidR="00756A60">
        <w:rPr>
          <w:rFonts w:asciiTheme="majorHAnsi" w:hAnsiTheme="majorHAnsi" w:cstheme="majorHAnsi"/>
        </w:rPr>
        <w:t>is seeking contractors</w:t>
      </w:r>
      <w:r w:rsidRPr="0035237B">
        <w:rPr>
          <w:rFonts w:asciiTheme="majorHAnsi" w:hAnsiTheme="majorHAnsi" w:cstheme="majorHAnsi"/>
        </w:rPr>
        <w:t xml:space="preserve"> to carry out </w:t>
      </w:r>
      <w:r w:rsidR="00686F93" w:rsidRPr="0035237B">
        <w:rPr>
          <w:rFonts w:asciiTheme="majorHAnsi" w:hAnsiTheme="majorHAnsi" w:cstheme="majorHAnsi"/>
        </w:rPr>
        <w:t>the</w:t>
      </w:r>
      <w:r w:rsidRPr="0035237B">
        <w:rPr>
          <w:rFonts w:asciiTheme="majorHAnsi" w:hAnsiTheme="majorHAnsi" w:cstheme="majorHAnsi"/>
        </w:rPr>
        <w:t xml:space="preserve"> mobilizing </w:t>
      </w:r>
      <w:r w:rsidR="00686F93" w:rsidRPr="0035237B">
        <w:rPr>
          <w:rFonts w:asciiTheme="majorHAnsi" w:hAnsiTheme="majorHAnsi" w:cstheme="majorHAnsi"/>
        </w:rPr>
        <w:t>and constructing of the various Project Types</w:t>
      </w:r>
      <w:r w:rsidRPr="0035237B">
        <w:rPr>
          <w:rFonts w:asciiTheme="majorHAnsi" w:hAnsiTheme="majorHAnsi" w:cstheme="majorHAnsi"/>
        </w:rPr>
        <w:t xml:space="preserve">, </w:t>
      </w:r>
      <w:r w:rsidR="00686F93" w:rsidRPr="0035237B">
        <w:rPr>
          <w:rFonts w:asciiTheme="majorHAnsi" w:hAnsiTheme="majorHAnsi" w:cstheme="majorHAnsi"/>
        </w:rPr>
        <w:t>by</w:t>
      </w:r>
      <w:r w:rsidRPr="0035237B">
        <w:rPr>
          <w:rFonts w:asciiTheme="majorHAnsi" w:hAnsiTheme="majorHAnsi" w:cstheme="majorHAnsi"/>
        </w:rPr>
        <w:t xml:space="preserve"> provid</w:t>
      </w:r>
      <w:r w:rsidR="00686F93" w:rsidRPr="0035237B">
        <w:rPr>
          <w:rFonts w:asciiTheme="majorHAnsi" w:hAnsiTheme="majorHAnsi" w:cstheme="majorHAnsi"/>
        </w:rPr>
        <w:t>ing</w:t>
      </w:r>
      <w:r w:rsidRPr="0035237B">
        <w:rPr>
          <w:rFonts w:asciiTheme="majorHAnsi" w:hAnsiTheme="majorHAnsi" w:cstheme="majorHAnsi"/>
        </w:rPr>
        <w:t xml:space="preserve"> all the required tools, equipment, materials, </w:t>
      </w:r>
      <w:r w:rsidR="00BB1DB8" w:rsidRPr="0035237B">
        <w:rPr>
          <w:rFonts w:asciiTheme="majorHAnsi" w:hAnsiTheme="majorHAnsi" w:cstheme="majorHAnsi"/>
        </w:rPr>
        <w:t xml:space="preserve">and </w:t>
      </w:r>
      <w:r w:rsidRPr="0035237B">
        <w:rPr>
          <w:rFonts w:asciiTheme="majorHAnsi" w:hAnsiTheme="majorHAnsi" w:cstheme="majorHAnsi"/>
        </w:rPr>
        <w:t xml:space="preserve">labor </w:t>
      </w:r>
      <w:r w:rsidR="00BB1DB8" w:rsidRPr="0035237B">
        <w:rPr>
          <w:rFonts w:asciiTheme="majorHAnsi" w:hAnsiTheme="majorHAnsi" w:cstheme="majorHAnsi"/>
        </w:rPr>
        <w:t>while</w:t>
      </w:r>
      <w:r w:rsidRPr="0035237B">
        <w:rPr>
          <w:rFonts w:asciiTheme="majorHAnsi" w:hAnsiTheme="majorHAnsi" w:cstheme="majorHAnsi"/>
        </w:rPr>
        <w:t xml:space="preserve"> ensur</w:t>
      </w:r>
      <w:r w:rsidR="00BB1DB8" w:rsidRPr="0035237B">
        <w:rPr>
          <w:rFonts w:asciiTheme="majorHAnsi" w:hAnsiTheme="majorHAnsi" w:cstheme="majorHAnsi"/>
        </w:rPr>
        <w:t>ing</w:t>
      </w:r>
      <w:r w:rsidRPr="0035237B">
        <w:rPr>
          <w:rFonts w:asciiTheme="majorHAnsi" w:hAnsiTheme="majorHAnsi" w:cstheme="majorHAnsi"/>
        </w:rPr>
        <w:t xml:space="preserve"> that all the necessary requirements </w:t>
      </w:r>
      <w:r w:rsidR="00F53F46">
        <w:rPr>
          <w:rFonts w:asciiTheme="majorHAnsi" w:hAnsiTheme="majorHAnsi" w:cstheme="majorHAnsi"/>
        </w:rPr>
        <w:t>for</w:t>
      </w:r>
      <w:r w:rsidRPr="0035237B">
        <w:rPr>
          <w:rFonts w:asciiTheme="majorHAnsi" w:hAnsiTheme="majorHAnsi" w:cstheme="majorHAnsi"/>
        </w:rPr>
        <w:t xml:space="preserve"> </w:t>
      </w:r>
      <w:r w:rsidR="0099167D" w:rsidRPr="0035237B">
        <w:rPr>
          <w:rFonts w:asciiTheme="majorHAnsi" w:hAnsiTheme="majorHAnsi" w:cstheme="majorHAnsi"/>
        </w:rPr>
        <w:t xml:space="preserve">construction, quality </w:t>
      </w:r>
      <w:r w:rsidR="004E0D7A" w:rsidRPr="0035237B">
        <w:rPr>
          <w:rFonts w:asciiTheme="majorHAnsi" w:hAnsiTheme="majorHAnsi" w:cstheme="majorHAnsi"/>
        </w:rPr>
        <w:t>control</w:t>
      </w:r>
      <w:r w:rsidR="00AD6CC8" w:rsidRPr="0035237B">
        <w:rPr>
          <w:rFonts w:asciiTheme="majorHAnsi" w:hAnsiTheme="majorHAnsi" w:cstheme="majorHAnsi"/>
        </w:rPr>
        <w:t xml:space="preserve">, and safety </w:t>
      </w:r>
      <w:r w:rsidRPr="0035237B">
        <w:rPr>
          <w:rFonts w:asciiTheme="majorHAnsi" w:hAnsiTheme="majorHAnsi" w:cstheme="majorHAnsi"/>
        </w:rPr>
        <w:t xml:space="preserve">are up to the required standards </w:t>
      </w:r>
      <w:r w:rsidR="004F2679" w:rsidRPr="0035237B">
        <w:rPr>
          <w:rFonts w:asciiTheme="majorHAnsi" w:hAnsiTheme="majorHAnsi" w:cstheme="majorHAnsi"/>
        </w:rPr>
        <w:t xml:space="preserve">as per </w:t>
      </w:r>
      <w:r w:rsidRPr="0035237B">
        <w:rPr>
          <w:rFonts w:asciiTheme="majorHAnsi" w:hAnsiTheme="majorHAnsi" w:cstheme="majorHAnsi"/>
        </w:rPr>
        <w:t xml:space="preserve">the technical specifications in the </w:t>
      </w:r>
      <w:r w:rsidR="00F53F46">
        <w:rPr>
          <w:rFonts w:asciiTheme="majorHAnsi" w:hAnsiTheme="majorHAnsi" w:cstheme="majorHAnsi"/>
        </w:rPr>
        <w:t xml:space="preserve">Terms of Reference and </w:t>
      </w:r>
      <w:r w:rsidRPr="0035237B">
        <w:rPr>
          <w:rFonts w:asciiTheme="majorHAnsi" w:hAnsiTheme="majorHAnsi" w:cstheme="majorHAnsi"/>
        </w:rPr>
        <w:t xml:space="preserve">Bill of </w:t>
      </w:r>
      <w:r w:rsidR="00D965E4" w:rsidRPr="0035237B">
        <w:rPr>
          <w:rFonts w:asciiTheme="majorHAnsi" w:hAnsiTheme="majorHAnsi" w:cstheme="majorHAnsi"/>
        </w:rPr>
        <w:t>Quantities (BoQs)</w:t>
      </w:r>
      <w:r w:rsidR="000B5E77" w:rsidRPr="0035237B">
        <w:rPr>
          <w:rFonts w:asciiTheme="majorHAnsi" w:hAnsiTheme="majorHAnsi" w:cstheme="majorHAnsi"/>
        </w:rPr>
        <w:t>.</w:t>
      </w:r>
    </w:p>
    <w:p w14:paraId="43CFE570" w14:textId="413C9608" w:rsidR="00393405" w:rsidRPr="0035237B" w:rsidRDefault="00393405" w:rsidP="00393405">
      <w:p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The works will be packaged by </w:t>
      </w:r>
      <w:r w:rsidR="00740502" w:rsidRPr="0035237B">
        <w:rPr>
          <w:rFonts w:asciiTheme="majorHAnsi" w:hAnsiTheme="majorHAnsi" w:cstheme="majorHAnsi"/>
        </w:rPr>
        <w:t>“</w:t>
      </w:r>
      <w:r w:rsidRPr="0035237B">
        <w:rPr>
          <w:rFonts w:asciiTheme="majorHAnsi" w:hAnsiTheme="majorHAnsi" w:cstheme="majorHAnsi"/>
        </w:rPr>
        <w:t>ECRP Project Location</w:t>
      </w:r>
      <w:r w:rsidR="00740502" w:rsidRPr="0035237B">
        <w:rPr>
          <w:rFonts w:asciiTheme="majorHAnsi" w:hAnsiTheme="majorHAnsi" w:cstheme="majorHAnsi"/>
        </w:rPr>
        <w:t>”</w:t>
      </w:r>
      <w:r w:rsidRPr="0035237B">
        <w:rPr>
          <w:rFonts w:asciiTheme="majorHAnsi" w:hAnsiTheme="majorHAnsi" w:cstheme="majorHAnsi"/>
        </w:rPr>
        <w:t xml:space="preserve"> and can be further sub-divided by work type as determined by IOM. The above is not an exhaustive list of project types but representative of </w:t>
      </w:r>
      <w:r w:rsidRPr="0035237B">
        <w:rPr>
          <w:rFonts w:asciiTheme="majorHAnsi" w:hAnsiTheme="majorHAnsi" w:cstheme="majorHAnsi"/>
        </w:rPr>
        <w:lastRenderedPageBreak/>
        <w:t>the general type</w:t>
      </w:r>
      <w:r w:rsidR="0039394F">
        <w:rPr>
          <w:rFonts w:asciiTheme="majorHAnsi" w:hAnsiTheme="majorHAnsi" w:cstheme="majorHAnsi"/>
        </w:rPr>
        <w:t>s</w:t>
      </w:r>
      <w:r w:rsidRPr="0035237B">
        <w:rPr>
          <w:rFonts w:asciiTheme="majorHAnsi" w:hAnsiTheme="majorHAnsi" w:cstheme="majorHAnsi"/>
        </w:rPr>
        <w:t xml:space="preserve"> of </w:t>
      </w:r>
      <w:r w:rsidR="00AD6CC8" w:rsidRPr="0035237B">
        <w:rPr>
          <w:rFonts w:asciiTheme="majorHAnsi" w:hAnsiTheme="majorHAnsi" w:cstheme="majorHAnsi"/>
        </w:rPr>
        <w:t>community</w:t>
      </w:r>
      <w:r w:rsidR="00804A91" w:rsidRPr="0035237B">
        <w:rPr>
          <w:rFonts w:asciiTheme="majorHAnsi" w:hAnsiTheme="majorHAnsi" w:cstheme="majorHAnsi"/>
        </w:rPr>
        <w:t xml:space="preserve"> infrastructure </w:t>
      </w:r>
      <w:r w:rsidRPr="0035237B">
        <w:rPr>
          <w:rFonts w:asciiTheme="majorHAnsi" w:hAnsiTheme="majorHAnsi" w:cstheme="majorHAnsi"/>
        </w:rPr>
        <w:t xml:space="preserve">construction and rehabilitation services </w:t>
      </w:r>
      <w:r w:rsidR="0088386A" w:rsidRPr="0035237B">
        <w:rPr>
          <w:rFonts w:asciiTheme="majorHAnsi" w:hAnsiTheme="majorHAnsi" w:cstheme="majorHAnsi"/>
        </w:rPr>
        <w:t xml:space="preserve">required </w:t>
      </w:r>
      <w:r w:rsidRPr="0035237B">
        <w:rPr>
          <w:rFonts w:asciiTheme="majorHAnsi" w:hAnsiTheme="majorHAnsi" w:cstheme="majorHAnsi"/>
        </w:rPr>
        <w:t xml:space="preserve">for the ECRP program. </w:t>
      </w:r>
    </w:p>
    <w:p w14:paraId="208D6967" w14:textId="2C0B4A7E" w:rsidR="00393405" w:rsidRPr="0035237B" w:rsidRDefault="00393405" w:rsidP="00393405">
      <w:pPr>
        <w:pStyle w:val="Heading2"/>
        <w:rPr>
          <w:rFonts w:cstheme="majorHAnsi"/>
          <w:b/>
          <w:bCs/>
          <w:color w:val="auto"/>
        </w:rPr>
      </w:pPr>
      <w:r w:rsidRPr="0035237B">
        <w:rPr>
          <w:rFonts w:cstheme="majorHAnsi"/>
          <w:b/>
          <w:bCs/>
          <w:color w:val="auto"/>
        </w:rPr>
        <w:t xml:space="preserve">Required Capabilities </w:t>
      </w:r>
    </w:p>
    <w:p w14:paraId="051BDAA8" w14:textId="77777777" w:rsidR="00126446" w:rsidRPr="0035237B" w:rsidRDefault="00126446" w:rsidP="005D51A8">
      <w:pPr>
        <w:pStyle w:val="NoSpacing"/>
      </w:pPr>
    </w:p>
    <w:p w14:paraId="7ED1362D" w14:textId="712720A2" w:rsidR="00D867A6" w:rsidRPr="0035237B" w:rsidRDefault="007617C6" w:rsidP="00D867A6">
      <w:pPr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Each Company will be evaluated based on their capacity, track record and experience, and technical expertise in delivering the following scope of works.</w:t>
      </w:r>
    </w:p>
    <w:p w14:paraId="5A8D0A62" w14:textId="5FA87C23" w:rsidR="00B7333C" w:rsidRPr="0035237B" w:rsidRDefault="00B7333C" w:rsidP="00126446">
      <w:pPr>
        <w:pStyle w:val="ListParagraph"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PRELIMINARY WORKS</w:t>
      </w:r>
    </w:p>
    <w:p w14:paraId="42BB93FE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Clearing up of the site</w:t>
      </w:r>
    </w:p>
    <w:p w14:paraId="312957C8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Installation of temporary site office, toilets and space for stores for the workers.</w:t>
      </w:r>
    </w:p>
    <w:p w14:paraId="1A196BB3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Provision of water and electricity within the site for the duration of the contract</w:t>
      </w:r>
    </w:p>
    <w:p w14:paraId="5C4575E9" w14:textId="6277943C" w:rsidR="00C9713B" w:rsidRPr="0035237B" w:rsidRDefault="00A0149E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Topographical and geotechnical surve</w:t>
      </w:r>
      <w:r w:rsidR="00D965E4" w:rsidRPr="0035237B">
        <w:rPr>
          <w:rFonts w:asciiTheme="majorHAnsi" w:hAnsiTheme="majorHAnsi" w:cstheme="majorHAnsi"/>
        </w:rPr>
        <w:t>ys (as required in BoQs)</w:t>
      </w:r>
    </w:p>
    <w:p w14:paraId="6FC95B36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Supply and installation of a signpost and hoarding</w:t>
      </w:r>
    </w:p>
    <w:p w14:paraId="1ABD1238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Maintain a clean and organized environment on site</w:t>
      </w:r>
    </w:p>
    <w:p w14:paraId="62709B86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Provision of insurances as per the contract</w:t>
      </w:r>
    </w:p>
    <w:p w14:paraId="150B51D4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Undertake environmental, health and safety measures during construction as per the contract</w:t>
      </w:r>
    </w:p>
    <w:p w14:paraId="6E4EE5F0" w14:textId="77777777" w:rsidR="00C9713B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Site cleaning and demobilization of contractor’s facilities</w:t>
      </w:r>
    </w:p>
    <w:p w14:paraId="1EE815BD" w14:textId="31D0ECF7" w:rsidR="00B7333C" w:rsidRPr="0035237B" w:rsidRDefault="00C9713B" w:rsidP="00126446">
      <w:pPr>
        <w:pStyle w:val="ListParagraph"/>
        <w:numPr>
          <w:ilvl w:val="1"/>
          <w:numId w:val="18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Organize in collaboration with IOM Representative on a formal handover after substantial completion</w:t>
      </w:r>
    </w:p>
    <w:p w14:paraId="413FE9CC" w14:textId="77777777" w:rsidR="00C26173" w:rsidRPr="0035237B" w:rsidRDefault="00C26173" w:rsidP="00126446">
      <w:pPr>
        <w:pStyle w:val="ListParagraph"/>
        <w:spacing w:line="360" w:lineRule="auto"/>
        <w:ind w:left="1440"/>
        <w:rPr>
          <w:rFonts w:asciiTheme="majorHAnsi" w:hAnsiTheme="majorHAnsi" w:cstheme="majorHAnsi"/>
        </w:rPr>
      </w:pPr>
    </w:p>
    <w:p w14:paraId="5FF46B52" w14:textId="447451BD" w:rsidR="00C47247" w:rsidRPr="0035237B" w:rsidRDefault="00867A0A" w:rsidP="00126446">
      <w:pPr>
        <w:pStyle w:val="ListParagraph"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CONSTRUCTION OF COMMUNITY BUILDINGS AND FACILITIES</w:t>
      </w:r>
    </w:p>
    <w:p w14:paraId="573BE7DE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Excavation of pits for the latrine, septic tanks and soak away pits in any material</w:t>
      </w:r>
    </w:p>
    <w:p w14:paraId="303B1ACC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Excavation works for a new foundation</w:t>
      </w:r>
    </w:p>
    <w:p w14:paraId="667FD435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Backfilling with approved imported materials</w:t>
      </w:r>
    </w:p>
    <w:p w14:paraId="50FCD5C3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Disposal of excess excavated unusable materials</w:t>
      </w:r>
    </w:p>
    <w:p w14:paraId="0EA171E2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Structural works (column bases, ring beams, beams, lintels, slabs, ground floor and columns)</w:t>
      </w:r>
    </w:p>
    <w:p w14:paraId="629AAEFC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Substructure masonry Walling as per the drawings and BoQ</w:t>
      </w:r>
    </w:p>
    <w:p w14:paraId="6337E91D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Superstructure masonry Walling as per the drawings and BoQ</w:t>
      </w:r>
    </w:p>
    <w:p w14:paraId="72F6E921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Cement Screed floor finish </w:t>
      </w:r>
    </w:p>
    <w:p w14:paraId="055A90E7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Cement Sand Plastering to internal and external walls</w:t>
      </w:r>
    </w:p>
    <w:p w14:paraId="7E758F68" w14:textId="0440B590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Welding works for the installation of the fixing steel support structure and steel trusses as per drawings and B</w:t>
      </w:r>
      <w:r w:rsidR="00C51F5F" w:rsidRPr="0035237B">
        <w:rPr>
          <w:rFonts w:asciiTheme="majorHAnsi" w:hAnsiTheme="majorHAnsi" w:cstheme="majorHAnsi"/>
        </w:rPr>
        <w:t>o</w:t>
      </w:r>
      <w:r w:rsidRPr="0035237B">
        <w:rPr>
          <w:rFonts w:asciiTheme="majorHAnsi" w:hAnsiTheme="majorHAnsi" w:cstheme="majorHAnsi"/>
        </w:rPr>
        <w:t>Q</w:t>
      </w:r>
    </w:p>
    <w:p w14:paraId="57867F2B" w14:textId="00D405BF" w:rsidR="00975259" w:rsidRPr="0035237B" w:rsidRDefault="00975259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Timber construction </w:t>
      </w:r>
      <w:r w:rsidR="00C51F5F" w:rsidRPr="0035237B">
        <w:rPr>
          <w:rFonts w:asciiTheme="majorHAnsi" w:hAnsiTheme="majorHAnsi" w:cstheme="majorHAnsi"/>
        </w:rPr>
        <w:t>of treated wood roof support structure and trusses as per drawings and BoQ</w:t>
      </w:r>
    </w:p>
    <w:p w14:paraId="7F0B9066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Pavement works with precast concrete paving slabs</w:t>
      </w:r>
    </w:p>
    <w:p w14:paraId="79AF9090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lastRenderedPageBreak/>
        <w:t>Supply and installation of Steel casement doors complete with all accessories (locks, hinges and handles) and finished as specified in the drawings and BoQ</w:t>
      </w:r>
    </w:p>
    <w:p w14:paraId="5F49D9B9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Supply and installation of steel windows complete with all accessories and finished as specified in the BoQ</w:t>
      </w:r>
    </w:p>
    <w:p w14:paraId="6CA6CEA9" w14:textId="19DC7BE6" w:rsidR="00AE15D2" w:rsidRPr="0035237B" w:rsidRDefault="00C207D5" w:rsidP="00975259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Roof with corrugated steel roofing sheets in a steel structure as per drawings and BoQ</w:t>
      </w:r>
    </w:p>
    <w:p w14:paraId="19BE00C4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Supply and Installation of chain link fencing and gates</w:t>
      </w:r>
    </w:p>
    <w:p w14:paraId="293028EF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Construction of a soak pit as per the drawings and BoQ</w:t>
      </w:r>
    </w:p>
    <w:p w14:paraId="379F2879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Construction of a compost pit as per the drawings and BoQ</w:t>
      </w:r>
    </w:p>
    <w:p w14:paraId="6FE08704" w14:textId="77777777" w:rsidR="00C207D5" w:rsidRPr="0035237B" w:rsidRDefault="00C207D5" w:rsidP="00C207D5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Construction of an incinerator as per the drawings and BoQ</w:t>
      </w:r>
    </w:p>
    <w:p w14:paraId="29F0A424" w14:textId="77777777" w:rsidR="00533B11" w:rsidRPr="0035237B" w:rsidRDefault="00533B11" w:rsidP="00533B11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Painting with approved quality and color</w:t>
      </w:r>
    </w:p>
    <w:p w14:paraId="7AF24F70" w14:textId="05F3E466" w:rsidR="00C207D5" w:rsidRPr="0035237B" w:rsidRDefault="00C207D5" w:rsidP="00126446">
      <w:pPr>
        <w:pStyle w:val="ListParagraph"/>
        <w:numPr>
          <w:ilvl w:val="1"/>
          <w:numId w:val="19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Landscaping and planting</w:t>
      </w:r>
    </w:p>
    <w:p w14:paraId="2F0FEA1E" w14:textId="77777777" w:rsidR="0035295E" w:rsidRPr="0035237B" w:rsidRDefault="0035295E" w:rsidP="00126446">
      <w:pPr>
        <w:pStyle w:val="ListParagraph"/>
        <w:spacing w:line="360" w:lineRule="auto"/>
        <w:ind w:left="1440"/>
        <w:rPr>
          <w:rFonts w:asciiTheme="majorHAnsi" w:hAnsiTheme="majorHAnsi" w:cstheme="majorHAnsi"/>
        </w:rPr>
      </w:pPr>
    </w:p>
    <w:p w14:paraId="6DC7EA41" w14:textId="661D0A40" w:rsidR="0061192D" w:rsidRPr="0035237B" w:rsidRDefault="0061192D" w:rsidP="00126446">
      <w:pPr>
        <w:pStyle w:val="ListParagraph"/>
        <w:keepNext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ELECTRICAL INSTALLATION</w:t>
      </w:r>
    </w:p>
    <w:p w14:paraId="65E1A0DE" w14:textId="77777777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Electrical Installations (cabling, earthing, lighting, lightening arrestor switches, sockets, conduits etc) as per drawings and BoQ</w:t>
      </w:r>
    </w:p>
    <w:p w14:paraId="1BE563A8" w14:textId="77777777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Supply and installation of solar P.V. panels, as per the drawings and BOQ </w:t>
      </w:r>
    </w:p>
    <w:p w14:paraId="4A2CD2F0" w14:textId="77777777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Supply and installation of solar batteries</w:t>
      </w:r>
    </w:p>
    <w:p w14:paraId="34A50FCA" w14:textId="77777777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Testing and commissioning of the solar system</w:t>
      </w:r>
    </w:p>
    <w:p w14:paraId="3B5B809D" w14:textId="77777777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Training of the client on the use and maintenance of the solar system</w:t>
      </w:r>
    </w:p>
    <w:p w14:paraId="031F2E4B" w14:textId="77777777" w:rsidR="0061192D" w:rsidRPr="0035237B" w:rsidRDefault="0061192D" w:rsidP="00533B11">
      <w:pPr>
        <w:pStyle w:val="ListParagraph"/>
        <w:keepNext/>
        <w:spacing w:line="360" w:lineRule="auto"/>
        <w:ind w:left="1440"/>
        <w:rPr>
          <w:rFonts w:asciiTheme="majorHAnsi" w:hAnsiTheme="majorHAnsi" w:cstheme="majorHAnsi"/>
        </w:rPr>
      </w:pPr>
    </w:p>
    <w:p w14:paraId="5B58BFC2" w14:textId="6900DC70" w:rsidR="00DD191E" w:rsidRPr="0035237B" w:rsidRDefault="0061192D" w:rsidP="00126446">
      <w:pPr>
        <w:pStyle w:val="ListParagraph"/>
        <w:keepNext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MECHANICAL</w:t>
      </w:r>
      <w:r w:rsidR="00F00349" w:rsidRPr="0035237B">
        <w:rPr>
          <w:rFonts w:asciiTheme="majorHAnsi" w:hAnsiTheme="majorHAnsi" w:cstheme="majorHAnsi"/>
        </w:rPr>
        <w:t>/</w:t>
      </w:r>
      <w:r w:rsidR="00A63618" w:rsidRPr="0035237B">
        <w:rPr>
          <w:rFonts w:asciiTheme="majorHAnsi" w:hAnsiTheme="majorHAnsi" w:cstheme="majorHAnsi"/>
        </w:rPr>
        <w:t>PLUMBING/DRAINAGE</w:t>
      </w:r>
      <w:r w:rsidR="00D95F1B" w:rsidRPr="0035237B">
        <w:rPr>
          <w:rFonts w:asciiTheme="majorHAnsi" w:hAnsiTheme="majorHAnsi" w:cstheme="majorHAnsi"/>
        </w:rPr>
        <w:t xml:space="preserve"> INSTALLATION</w:t>
      </w:r>
    </w:p>
    <w:p w14:paraId="0376FE50" w14:textId="77777777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Supply and installation of sanitary installations (hand wash basins, toilet fittings, etc)</w:t>
      </w:r>
    </w:p>
    <w:p w14:paraId="0706F604" w14:textId="04420F13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Plumbing installations (piping, valves, taps etc as per the as per drawings and BoQ</w:t>
      </w:r>
      <w:r w:rsidR="0039394F">
        <w:rPr>
          <w:rFonts w:asciiTheme="majorHAnsi" w:hAnsiTheme="majorHAnsi" w:cstheme="majorHAnsi"/>
        </w:rPr>
        <w:t>)</w:t>
      </w:r>
    </w:p>
    <w:p w14:paraId="3118BEB6" w14:textId="2A60E5A2" w:rsidR="0061192D" w:rsidRPr="0035237B" w:rsidRDefault="0061192D" w:rsidP="0061192D">
      <w:pPr>
        <w:pStyle w:val="ListParagraph"/>
        <w:numPr>
          <w:ilvl w:val="1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Drainage installations (UPVC piping, cement lined dug drains, roof gutters, etc)</w:t>
      </w:r>
    </w:p>
    <w:p w14:paraId="62563EF5" w14:textId="77777777" w:rsidR="00EB09EE" w:rsidRPr="0035237B" w:rsidRDefault="00EB09EE" w:rsidP="00EB09EE">
      <w:pPr>
        <w:pStyle w:val="ListParagraph"/>
        <w:spacing w:line="360" w:lineRule="auto"/>
        <w:ind w:left="1440"/>
        <w:rPr>
          <w:rFonts w:asciiTheme="majorHAnsi" w:hAnsiTheme="majorHAnsi" w:cstheme="majorHAnsi"/>
        </w:rPr>
      </w:pPr>
    </w:p>
    <w:p w14:paraId="164AD873" w14:textId="7ED55DF0" w:rsidR="005D14D8" w:rsidRPr="0035237B" w:rsidRDefault="005D14D8" w:rsidP="005D14D8">
      <w:pPr>
        <w:pStyle w:val="ListParagraph"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REHABILITATION OF COMMUNITY INFRASTRUCTURE BUILDINGS</w:t>
      </w:r>
    </w:p>
    <w:p w14:paraId="505E739E" w14:textId="77777777" w:rsidR="005D14D8" w:rsidRPr="0035237B" w:rsidRDefault="005D14D8" w:rsidP="005D14D8">
      <w:pPr>
        <w:pStyle w:val="ListParagraph"/>
        <w:numPr>
          <w:ilvl w:val="0"/>
          <w:numId w:val="21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Maintenance and repair work for all components in Section B, C and D of Required Capabilities</w:t>
      </w:r>
    </w:p>
    <w:p w14:paraId="040FDBDF" w14:textId="6F72B953" w:rsidR="005D14D8" w:rsidRPr="0035237B" w:rsidRDefault="005D14D8" w:rsidP="005D14D8">
      <w:pPr>
        <w:pStyle w:val="ListParagraph"/>
        <w:numPr>
          <w:ilvl w:val="0"/>
          <w:numId w:val="21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Removal and restoration of existing fencing to facilitate access for equipment</w:t>
      </w:r>
    </w:p>
    <w:p w14:paraId="1F3C91A7" w14:textId="77777777" w:rsidR="005D14D8" w:rsidRPr="0035237B" w:rsidRDefault="005D14D8" w:rsidP="006A50EB">
      <w:pPr>
        <w:pStyle w:val="ListParagraph"/>
        <w:spacing w:line="360" w:lineRule="auto"/>
        <w:ind w:left="1440"/>
        <w:rPr>
          <w:rFonts w:asciiTheme="majorHAnsi" w:hAnsiTheme="majorHAnsi" w:cstheme="majorHAnsi"/>
        </w:rPr>
      </w:pPr>
    </w:p>
    <w:p w14:paraId="6E8A71B3" w14:textId="1B7C7E1E" w:rsidR="00C9713B" w:rsidRPr="0035237B" w:rsidRDefault="00EB09EE" w:rsidP="00126446">
      <w:pPr>
        <w:pStyle w:val="ListParagraph"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SURFACE WATER MANAGEMENT INFRASTRUCTURE</w:t>
      </w:r>
    </w:p>
    <w:p w14:paraId="24FFC3C1" w14:textId="1B4E5B86" w:rsidR="0035295E" w:rsidRPr="0035237B" w:rsidRDefault="00197EE0" w:rsidP="00126446">
      <w:pPr>
        <w:pStyle w:val="ListParagraph"/>
        <w:numPr>
          <w:ilvl w:val="1"/>
          <w:numId w:val="20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Site leveling and grading</w:t>
      </w:r>
      <w:r w:rsidR="0091654A" w:rsidRPr="0035237B">
        <w:rPr>
          <w:rFonts w:asciiTheme="majorHAnsi" w:hAnsiTheme="majorHAnsi" w:cstheme="majorHAnsi"/>
        </w:rPr>
        <w:t xml:space="preserve"> using community labour</w:t>
      </w:r>
    </w:p>
    <w:p w14:paraId="74D6B51E" w14:textId="42F6B9F2" w:rsidR="00197EE0" w:rsidRPr="0035237B" w:rsidRDefault="0018395C" w:rsidP="00126446">
      <w:pPr>
        <w:pStyle w:val="ListParagraph"/>
        <w:numPr>
          <w:ilvl w:val="1"/>
          <w:numId w:val="20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Excavation of drainage channels and </w:t>
      </w:r>
      <w:r w:rsidR="00E815C1" w:rsidRPr="0035237B">
        <w:rPr>
          <w:rFonts w:asciiTheme="majorHAnsi" w:hAnsiTheme="majorHAnsi" w:cstheme="majorHAnsi"/>
        </w:rPr>
        <w:t>haffirs through manual-intensive methods</w:t>
      </w:r>
    </w:p>
    <w:p w14:paraId="741D30FD" w14:textId="77777777" w:rsidR="00DE0011" w:rsidRPr="0035237B" w:rsidRDefault="00DE0011" w:rsidP="00DE0011">
      <w:pPr>
        <w:pStyle w:val="ListParagraph"/>
        <w:numPr>
          <w:ilvl w:val="1"/>
          <w:numId w:val="20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Disposal of excess excavated unusable materials</w:t>
      </w:r>
    </w:p>
    <w:p w14:paraId="0E483E73" w14:textId="0B008EF6" w:rsidR="00E815C1" w:rsidRPr="0035237B" w:rsidRDefault="00F06E15" w:rsidP="00126446">
      <w:pPr>
        <w:pStyle w:val="ListParagraph"/>
        <w:numPr>
          <w:ilvl w:val="1"/>
          <w:numId w:val="20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Compaction by manual means </w:t>
      </w:r>
      <w:r w:rsidR="008B76D1" w:rsidRPr="0035237B">
        <w:rPr>
          <w:rFonts w:asciiTheme="majorHAnsi" w:hAnsiTheme="majorHAnsi" w:cstheme="majorHAnsi"/>
        </w:rPr>
        <w:t xml:space="preserve">including hand-guided vibratory plate compactors or </w:t>
      </w:r>
      <w:r w:rsidR="008B7011" w:rsidRPr="0035237B">
        <w:rPr>
          <w:rFonts w:asciiTheme="majorHAnsi" w:hAnsiTheme="majorHAnsi" w:cstheme="majorHAnsi"/>
        </w:rPr>
        <w:t>tampers</w:t>
      </w:r>
    </w:p>
    <w:p w14:paraId="2F79306F" w14:textId="0481172A" w:rsidR="007F3D1B" w:rsidRPr="0035237B" w:rsidRDefault="007F3D1B" w:rsidP="00126446">
      <w:pPr>
        <w:pStyle w:val="ListParagraph"/>
        <w:numPr>
          <w:ilvl w:val="1"/>
          <w:numId w:val="20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Construction of small dykes</w:t>
      </w:r>
      <w:r w:rsidR="0091654A" w:rsidRPr="0035237B">
        <w:rPr>
          <w:rFonts w:asciiTheme="majorHAnsi" w:hAnsiTheme="majorHAnsi" w:cstheme="majorHAnsi"/>
        </w:rPr>
        <w:t xml:space="preserve"> using community labour</w:t>
      </w:r>
    </w:p>
    <w:p w14:paraId="676269EA" w14:textId="77777777" w:rsidR="002766A2" w:rsidRPr="0035237B" w:rsidRDefault="002766A2" w:rsidP="002766A2">
      <w:pPr>
        <w:pStyle w:val="ListParagraph"/>
        <w:spacing w:line="360" w:lineRule="auto"/>
        <w:ind w:left="1440"/>
        <w:rPr>
          <w:rFonts w:asciiTheme="majorHAnsi" w:hAnsiTheme="majorHAnsi" w:cstheme="majorHAnsi"/>
        </w:rPr>
      </w:pPr>
    </w:p>
    <w:p w14:paraId="3297CDF5" w14:textId="5DC71860" w:rsidR="002766A2" w:rsidRPr="0035237B" w:rsidRDefault="00D95B4F" w:rsidP="002766A2">
      <w:pPr>
        <w:pStyle w:val="ListParagraph"/>
        <w:numPr>
          <w:ilvl w:val="0"/>
          <w:numId w:val="7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FOOTBRIDGES (</w:t>
      </w:r>
      <w:r w:rsidR="002766A2" w:rsidRPr="0035237B">
        <w:rPr>
          <w:rFonts w:asciiTheme="majorHAnsi" w:hAnsiTheme="majorHAnsi" w:cstheme="majorHAnsi"/>
        </w:rPr>
        <w:t>PEDESTRIAN WATER CROSSING</w:t>
      </w:r>
      <w:r w:rsidRPr="0035237B">
        <w:rPr>
          <w:rFonts w:asciiTheme="majorHAnsi" w:hAnsiTheme="majorHAnsi" w:cstheme="majorHAnsi"/>
        </w:rPr>
        <w:t>)</w:t>
      </w:r>
    </w:p>
    <w:p w14:paraId="794405CE" w14:textId="34BC0795" w:rsidR="00CA5038" w:rsidRPr="0035237B" w:rsidRDefault="00705423" w:rsidP="002766A2">
      <w:pPr>
        <w:pStyle w:val="ListParagraph"/>
        <w:numPr>
          <w:ilvl w:val="0"/>
          <w:numId w:val="22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Preparation of embankment soils </w:t>
      </w:r>
      <w:r w:rsidR="00D74B70" w:rsidRPr="0035237B">
        <w:rPr>
          <w:rFonts w:asciiTheme="majorHAnsi" w:hAnsiTheme="majorHAnsi" w:cstheme="majorHAnsi"/>
        </w:rPr>
        <w:t xml:space="preserve">including excavation, </w:t>
      </w:r>
      <w:r w:rsidR="004C43A9" w:rsidRPr="0035237B">
        <w:rPr>
          <w:rFonts w:asciiTheme="majorHAnsi" w:hAnsiTheme="majorHAnsi" w:cstheme="majorHAnsi"/>
        </w:rPr>
        <w:t>compaction and erosion protection works as per</w:t>
      </w:r>
      <w:r w:rsidR="00A11043">
        <w:rPr>
          <w:rFonts w:asciiTheme="majorHAnsi" w:hAnsiTheme="majorHAnsi" w:cstheme="majorHAnsi"/>
        </w:rPr>
        <w:t xml:space="preserve"> design</w:t>
      </w:r>
      <w:r w:rsidR="004C43A9" w:rsidRPr="0035237B">
        <w:rPr>
          <w:rFonts w:asciiTheme="majorHAnsi" w:hAnsiTheme="majorHAnsi" w:cstheme="majorHAnsi"/>
        </w:rPr>
        <w:t xml:space="preserve"> BoQ</w:t>
      </w:r>
    </w:p>
    <w:p w14:paraId="04C50D98" w14:textId="30914132" w:rsidR="002766A2" w:rsidRPr="0035237B" w:rsidRDefault="00CA5038" w:rsidP="002766A2">
      <w:pPr>
        <w:pStyle w:val="ListParagraph"/>
        <w:numPr>
          <w:ilvl w:val="0"/>
          <w:numId w:val="22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</w:t>
      </w:r>
      <w:r w:rsidR="002766A2" w:rsidRPr="0035237B">
        <w:rPr>
          <w:rFonts w:asciiTheme="majorHAnsi" w:hAnsiTheme="majorHAnsi" w:cstheme="majorHAnsi"/>
        </w:rPr>
        <w:t>onstruction of</w:t>
      </w:r>
      <w:r w:rsidR="006A6C07" w:rsidRPr="0035237B">
        <w:rPr>
          <w:rFonts w:asciiTheme="majorHAnsi" w:hAnsiTheme="majorHAnsi" w:cstheme="majorHAnsi"/>
        </w:rPr>
        <w:t xml:space="preserve"> masonry/concrete</w:t>
      </w:r>
      <w:r w:rsidR="00FE2C0C" w:rsidRPr="0035237B">
        <w:rPr>
          <w:rFonts w:asciiTheme="majorHAnsi" w:hAnsiTheme="majorHAnsi" w:cstheme="majorHAnsi"/>
        </w:rPr>
        <w:t xml:space="preserve"> or timber abutments</w:t>
      </w:r>
      <w:r w:rsidR="00FC4547" w:rsidRPr="0035237B">
        <w:rPr>
          <w:rFonts w:asciiTheme="majorHAnsi" w:hAnsiTheme="majorHAnsi" w:cstheme="majorHAnsi"/>
        </w:rPr>
        <w:t xml:space="preserve"> </w:t>
      </w:r>
      <w:r w:rsidR="00821894">
        <w:rPr>
          <w:rFonts w:asciiTheme="majorHAnsi" w:hAnsiTheme="majorHAnsi" w:cstheme="majorHAnsi"/>
        </w:rPr>
        <w:t xml:space="preserve">and wingwalls </w:t>
      </w:r>
      <w:r w:rsidR="00FC4547" w:rsidRPr="0035237B">
        <w:rPr>
          <w:rFonts w:asciiTheme="majorHAnsi" w:hAnsiTheme="majorHAnsi" w:cstheme="majorHAnsi"/>
        </w:rPr>
        <w:t>as per</w:t>
      </w:r>
      <w:r w:rsidR="00A11043">
        <w:rPr>
          <w:rFonts w:asciiTheme="majorHAnsi" w:hAnsiTheme="majorHAnsi" w:cstheme="majorHAnsi"/>
        </w:rPr>
        <w:t xml:space="preserve"> design and</w:t>
      </w:r>
      <w:r w:rsidR="00FC4547" w:rsidRPr="0035237B">
        <w:rPr>
          <w:rFonts w:asciiTheme="majorHAnsi" w:hAnsiTheme="majorHAnsi" w:cstheme="majorHAnsi"/>
        </w:rPr>
        <w:t xml:space="preserve"> BoQ</w:t>
      </w:r>
    </w:p>
    <w:p w14:paraId="6064E983" w14:textId="09DAB2E0" w:rsidR="00AC0E55" w:rsidRPr="0035237B" w:rsidRDefault="00AC0E55" w:rsidP="00AC0E55">
      <w:pPr>
        <w:pStyle w:val="ListParagraph"/>
        <w:numPr>
          <w:ilvl w:val="0"/>
          <w:numId w:val="22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Construction of masonry/concrete or timber piers as per</w:t>
      </w:r>
      <w:r w:rsidR="00A11043">
        <w:rPr>
          <w:rFonts w:asciiTheme="majorHAnsi" w:hAnsiTheme="majorHAnsi" w:cstheme="majorHAnsi"/>
        </w:rPr>
        <w:t xml:space="preserve"> design and</w:t>
      </w:r>
      <w:r w:rsidRPr="0035237B">
        <w:rPr>
          <w:rFonts w:asciiTheme="majorHAnsi" w:hAnsiTheme="majorHAnsi" w:cstheme="majorHAnsi"/>
        </w:rPr>
        <w:t xml:space="preserve"> BoQ</w:t>
      </w:r>
    </w:p>
    <w:p w14:paraId="1F90C6DA" w14:textId="6673177C" w:rsidR="00FE2C0C" w:rsidRPr="0035237B" w:rsidRDefault="000B1F6E" w:rsidP="002766A2">
      <w:pPr>
        <w:pStyle w:val="ListParagraph"/>
        <w:numPr>
          <w:ilvl w:val="0"/>
          <w:numId w:val="22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Construction of 1.0 – 2.0 m wide </w:t>
      </w:r>
      <w:r w:rsidR="008B5CAE" w:rsidRPr="0035237B">
        <w:rPr>
          <w:rFonts w:asciiTheme="majorHAnsi" w:hAnsiTheme="majorHAnsi" w:cstheme="majorHAnsi"/>
        </w:rPr>
        <w:t xml:space="preserve">bridge deck </w:t>
      </w:r>
      <w:r w:rsidR="00FC4547" w:rsidRPr="0035237B">
        <w:rPr>
          <w:rFonts w:asciiTheme="majorHAnsi" w:hAnsiTheme="majorHAnsi" w:cstheme="majorHAnsi"/>
        </w:rPr>
        <w:t>from bamboo, timber logs or sawn-timber as per</w:t>
      </w:r>
      <w:r w:rsidR="00A11043">
        <w:rPr>
          <w:rFonts w:asciiTheme="majorHAnsi" w:hAnsiTheme="majorHAnsi" w:cstheme="majorHAnsi"/>
        </w:rPr>
        <w:t xml:space="preserve"> design and</w:t>
      </w:r>
      <w:r w:rsidR="00FC4547" w:rsidRPr="0035237B">
        <w:rPr>
          <w:rFonts w:asciiTheme="majorHAnsi" w:hAnsiTheme="majorHAnsi" w:cstheme="majorHAnsi"/>
        </w:rPr>
        <w:t xml:space="preserve"> BoQs</w:t>
      </w:r>
    </w:p>
    <w:p w14:paraId="254DAE60" w14:textId="7550D95C" w:rsidR="004C6469" w:rsidRPr="0035237B" w:rsidRDefault="004C6469" w:rsidP="002766A2">
      <w:pPr>
        <w:pStyle w:val="ListParagraph"/>
        <w:numPr>
          <w:ilvl w:val="0"/>
          <w:numId w:val="22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 xml:space="preserve">Construction of safety handrails </w:t>
      </w:r>
    </w:p>
    <w:p w14:paraId="45044420" w14:textId="096F2FA3" w:rsidR="005D14D8" w:rsidRPr="0035237B" w:rsidRDefault="002766A2" w:rsidP="00956B9A">
      <w:pPr>
        <w:pStyle w:val="ListParagraph"/>
        <w:numPr>
          <w:ilvl w:val="0"/>
          <w:numId w:val="22"/>
        </w:numPr>
        <w:spacing w:line="360" w:lineRule="auto"/>
        <w:rPr>
          <w:rFonts w:asciiTheme="majorHAnsi" w:hAnsiTheme="majorHAnsi" w:cstheme="majorHAnsi"/>
        </w:rPr>
      </w:pPr>
      <w:r w:rsidRPr="0035237B">
        <w:rPr>
          <w:rFonts w:asciiTheme="majorHAnsi" w:hAnsiTheme="majorHAnsi" w:cstheme="majorHAnsi"/>
        </w:rPr>
        <w:t>Disposal of excess excavated unusable materials</w:t>
      </w:r>
    </w:p>
    <w:sectPr w:rsidR="005D14D8" w:rsidRPr="0035237B" w:rsidSect="00260AA2"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18A8" w14:textId="77777777" w:rsidR="005001D9" w:rsidRDefault="005001D9" w:rsidP="00EC4DEF">
      <w:pPr>
        <w:spacing w:after="0" w:line="240" w:lineRule="auto"/>
      </w:pPr>
      <w:r>
        <w:separator/>
      </w:r>
    </w:p>
  </w:endnote>
  <w:endnote w:type="continuationSeparator" w:id="0">
    <w:p w14:paraId="60D8026C" w14:textId="77777777" w:rsidR="005001D9" w:rsidRDefault="005001D9" w:rsidP="00EC4DEF">
      <w:pPr>
        <w:spacing w:after="0" w:line="240" w:lineRule="auto"/>
      </w:pPr>
      <w:r>
        <w:continuationSeparator/>
      </w:r>
    </w:p>
  </w:endnote>
  <w:endnote w:type="continuationNotice" w:id="1">
    <w:p w14:paraId="4977CE5C" w14:textId="77777777" w:rsidR="005001D9" w:rsidRDefault="005001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A5A3" w14:textId="5F64302C" w:rsidR="005D51A8" w:rsidRDefault="005D51A8">
    <w:pPr>
      <w:pStyle w:val="Footer"/>
      <w:jc w:val="right"/>
    </w:pPr>
    <w:r>
      <w:t>Annex B-</w:t>
    </w:r>
    <w:sdt>
      <w:sdtPr>
        <w:id w:val="-16804243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633E97D9" w14:textId="77777777" w:rsidR="001B7F39" w:rsidRDefault="001B7F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7F437" w14:textId="77777777" w:rsidR="005001D9" w:rsidRDefault="005001D9" w:rsidP="00EC4DEF">
      <w:pPr>
        <w:spacing w:after="0" w:line="240" w:lineRule="auto"/>
      </w:pPr>
      <w:r>
        <w:separator/>
      </w:r>
    </w:p>
  </w:footnote>
  <w:footnote w:type="continuationSeparator" w:id="0">
    <w:p w14:paraId="5B72E30C" w14:textId="77777777" w:rsidR="005001D9" w:rsidRDefault="005001D9" w:rsidP="00EC4DEF">
      <w:pPr>
        <w:spacing w:after="0" w:line="240" w:lineRule="auto"/>
      </w:pPr>
      <w:r>
        <w:continuationSeparator/>
      </w:r>
    </w:p>
  </w:footnote>
  <w:footnote w:type="continuationNotice" w:id="1">
    <w:p w14:paraId="18E4330C" w14:textId="77777777" w:rsidR="005001D9" w:rsidRDefault="005001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504"/>
    <w:multiLevelType w:val="hybridMultilevel"/>
    <w:tmpl w:val="2D08E7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4E62"/>
    <w:multiLevelType w:val="hybridMultilevel"/>
    <w:tmpl w:val="9E709EEA"/>
    <w:lvl w:ilvl="0" w:tplc="200A98A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87053"/>
    <w:multiLevelType w:val="hybridMultilevel"/>
    <w:tmpl w:val="03C627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55D19"/>
    <w:multiLevelType w:val="hybridMultilevel"/>
    <w:tmpl w:val="92B0EA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3205F"/>
    <w:multiLevelType w:val="hybridMultilevel"/>
    <w:tmpl w:val="4C1C24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D4A49"/>
    <w:multiLevelType w:val="hybridMultilevel"/>
    <w:tmpl w:val="29AE815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620D6D"/>
    <w:multiLevelType w:val="hybridMultilevel"/>
    <w:tmpl w:val="6EFEA2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B66EF"/>
    <w:multiLevelType w:val="hybridMultilevel"/>
    <w:tmpl w:val="3ABEEB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4D69C2"/>
    <w:multiLevelType w:val="hybridMultilevel"/>
    <w:tmpl w:val="F91C5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C838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A4FF8"/>
    <w:multiLevelType w:val="hybridMultilevel"/>
    <w:tmpl w:val="5D7AA3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AE86A39"/>
    <w:multiLevelType w:val="hybridMultilevel"/>
    <w:tmpl w:val="C36A35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C21C8"/>
    <w:multiLevelType w:val="hybridMultilevel"/>
    <w:tmpl w:val="D6C84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17D8A"/>
    <w:multiLevelType w:val="hybridMultilevel"/>
    <w:tmpl w:val="CFF69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7461E"/>
    <w:multiLevelType w:val="hybridMultilevel"/>
    <w:tmpl w:val="825098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7749B3"/>
    <w:multiLevelType w:val="hybridMultilevel"/>
    <w:tmpl w:val="454E0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C647E"/>
    <w:multiLevelType w:val="hybridMultilevel"/>
    <w:tmpl w:val="DFA693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053F4"/>
    <w:multiLevelType w:val="hybridMultilevel"/>
    <w:tmpl w:val="FAAC1C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833E4"/>
    <w:multiLevelType w:val="hybridMultilevel"/>
    <w:tmpl w:val="F24A7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17EEB"/>
    <w:multiLevelType w:val="hybridMultilevel"/>
    <w:tmpl w:val="357EA8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304643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94E7E"/>
    <w:multiLevelType w:val="hybridMultilevel"/>
    <w:tmpl w:val="AB94E9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83311"/>
    <w:multiLevelType w:val="hybridMultilevel"/>
    <w:tmpl w:val="C0A890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1D3497"/>
    <w:multiLevelType w:val="hybridMultilevel"/>
    <w:tmpl w:val="78920A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4"/>
  </w:num>
  <w:num w:numId="4">
    <w:abstractNumId w:val="19"/>
  </w:num>
  <w:num w:numId="5">
    <w:abstractNumId w:val="4"/>
  </w:num>
  <w:num w:numId="6">
    <w:abstractNumId w:val="21"/>
  </w:num>
  <w:num w:numId="7">
    <w:abstractNumId w:val="1"/>
  </w:num>
  <w:num w:numId="8">
    <w:abstractNumId w:val="0"/>
  </w:num>
  <w:num w:numId="9">
    <w:abstractNumId w:val="18"/>
  </w:num>
  <w:num w:numId="10">
    <w:abstractNumId w:val="10"/>
  </w:num>
  <w:num w:numId="11">
    <w:abstractNumId w:val="20"/>
  </w:num>
  <w:num w:numId="12">
    <w:abstractNumId w:val="12"/>
  </w:num>
  <w:num w:numId="13">
    <w:abstractNumId w:val="11"/>
  </w:num>
  <w:num w:numId="14">
    <w:abstractNumId w:val="5"/>
  </w:num>
  <w:num w:numId="15">
    <w:abstractNumId w:val="16"/>
  </w:num>
  <w:num w:numId="16">
    <w:abstractNumId w:val="13"/>
  </w:num>
  <w:num w:numId="17">
    <w:abstractNumId w:val="6"/>
  </w:num>
  <w:num w:numId="18">
    <w:abstractNumId w:val="3"/>
  </w:num>
  <w:num w:numId="19">
    <w:abstractNumId w:val="15"/>
  </w:num>
  <w:num w:numId="20">
    <w:abstractNumId w:val="2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3C"/>
    <w:rsid w:val="000150FB"/>
    <w:rsid w:val="00054773"/>
    <w:rsid w:val="000600AD"/>
    <w:rsid w:val="000B1F6E"/>
    <w:rsid w:val="000B356D"/>
    <w:rsid w:val="000B5E77"/>
    <w:rsid w:val="000C0569"/>
    <w:rsid w:val="000D7834"/>
    <w:rsid w:val="00102AA8"/>
    <w:rsid w:val="001223AE"/>
    <w:rsid w:val="001228BB"/>
    <w:rsid w:val="00126446"/>
    <w:rsid w:val="00162C23"/>
    <w:rsid w:val="0017428D"/>
    <w:rsid w:val="0018395C"/>
    <w:rsid w:val="00191DB5"/>
    <w:rsid w:val="00193CA3"/>
    <w:rsid w:val="00197EE0"/>
    <w:rsid w:val="001B1A66"/>
    <w:rsid w:val="001B7F39"/>
    <w:rsid w:val="001C271C"/>
    <w:rsid w:val="001F78AA"/>
    <w:rsid w:val="001F79E2"/>
    <w:rsid w:val="00207856"/>
    <w:rsid w:val="00214C48"/>
    <w:rsid w:val="002343A3"/>
    <w:rsid w:val="00260AA2"/>
    <w:rsid w:val="00274A84"/>
    <w:rsid w:val="002766A2"/>
    <w:rsid w:val="002A0FE7"/>
    <w:rsid w:val="002E14F4"/>
    <w:rsid w:val="002F6CC6"/>
    <w:rsid w:val="0034269E"/>
    <w:rsid w:val="00344F49"/>
    <w:rsid w:val="0035237B"/>
    <w:rsid w:val="0035295E"/>
    <w:rsid w:val="003752AB"/>
    <w:rsid w:val="00380C67"/>
    <w:rsid w:val="00393342"/>
    <w:rsid w:val="00393405"/>
    <w:rsid w:val="0039394F"/>
    <w:rsid w:val="003B3AB1"/>
    <w:rsid w:val="003D71EF"/>
    <w:rsid w:val="00404B0B"/>
    <w:rsid w:val="00461870"/>
    <w:rsid w:val="00465700"/>
    <w:rsid w:val="00466117"/>
    <w:rsid w:val="00491C7C"/>
    <w:rsid w:val="004A7A0E"/>
    <w:rsid w:val="004C1151"/>
    <w:rsid w:val="004C43A9"/>
    <w:rsid w:val="004C6469"/>
    <w:rsid w:val="004D4640"/>
    <w:rsid w:val="004E0D7A"/>
    <w:rsid w:val="004F2679"/>
    <w:rsid w:val="005001D9"/>
    <w:rsid w:val="00527EBD"/>
    <w:rsid w:val="00533B11"/>
    <w:rsid w:val="005462F1"/>
    <w:rsid w:val="00567BAE"/>
    <w:rsid w:val="005757A3"/>
    <w:rsid w:val="00594A51"/>
    <w:rsid w:val="005B0434"/>
    <w:rsid w:val="005B5847"/>
    <w:rsid w:val="005D14D8"/>
    <w:rsid w:val="005D51A8"/>
    <w:rsid w:val="005E7C19"/>
    <w:rsid w:val="0061192D"/>
    <w:rsid w:val="00635760"/>
    <w:rsid w:val="00641C1F"/>
    <w:rsid w:val="006746CE"/>
    <w:rsid w:val="00686F93"/>
    <w:rsid w:val="006A50EB"/>
    <w:rsid w:val="006A6C07"/>
    <w:rsid w:val="006A7D13"/>
    <w:rsid w:val="006B09E2"/>
    <w:rsid w:val="006B50E5"/>
    <w:rsid w:val="006C1A8B"/>
    <w:rsid w:val="006D48E3"/>
    <w:rsid w:val="006E4115"/>
    <w:rsid w:val="006F5FBA"/>
    <w:rsid w:val="00705423"/>
    <w:rsid w:val="007120FE"/>
    <w:rsid w:val="007135AC"/>
    <w:rsid w:val="00716A6F"/>
    <w:rsid w:val="00717289"/>
    <w:rsid w:val="00724724"/>
    <w:rsid w:val="00740502"/>
    <w:rsid w:val="00756A60"/>
    <w:rsid w:val="007617C6"/>
    <w:rsid w:val="007729CA"/>
    <w:rsid w:val="00775BB7"/>
    <w:rsid w:val="007D1971"/>
    <w:rsid w:val="007F3D1B"/>
    <w:rsid w:val="00804A91"/>
    <w:rsid w:val="00820BC0"/>
    <w:rsid w:val="00821315"/>
    <w:rsid w:val="00821894"/>
    <w:rsid w:val="00852FAA"/>
    <w:rsid w:val="00864D6E"/>
    <w:rsid w:val="00867A0A"/>
    <w:rsid w:val="0088090A"/>
    <w:rsid w:val="0088386A"/>
    <w:rsid w:val="0088717E"/>
    <w:rsid w:val="008A2C75"/>
    <w:rsid w:val="008A4A60"/>
    <w:rsid w:val="008B130A"/>
    <w:rsid w:val="008B5CAE"/>
    <w:rsid w:val="008B7011"/>
    <w:rsid w:val="008B76D1"/>
    <w:rsid w:val="008D4743"/>
    <w:rsid w:val="008E325E"/>
    <w:rsid w:val="0091654A"/>
    <w:rsid w:val="00916C47"/>
    <w:rsid w:val="009211AB"/>
    <w:rsid w:val="009226C5"/>
    <w:rsid w:val="00932A2C"/>
    <w:rsid w:val="0095403A"/>
    <w:rsid w:val="00956B9A"/>
    <w:rsid w:val="00967EC5"/>
    <w:rsid w:val="00975259"/>
    <w:rsid w:val="00983365"/>
    <w:rsid w:val="00985A28"/>
    <w:rsid w:val="0099167D"/>
    <w:rsid w:val="00992291"/>
    <w:rsid w:val="009D4905"/>
    <w:rsid w:val="009E272F"/>
    <w:rsid w:val="009E6491"/>
    <w:rsid w:val="00A0149E"/>
    <w:rsid w:val="00A11043"/>
    <w:rsid w:val="00A3734D"/>
    <w:rsid w:val="00A42229"/>
    <w:rsid w:val="00A63618"/>
    <w:rsid w:val="00A80220"/>
    <w:rsid w:val="00A85114"/>
    <w:rsid w:val="00A8616C"/>
    <w:rsid w:val="00A94D0E"/>
    <w:rsid w:val="00AB33A8"/>
    <w:rsid w:val="00AC0E55"/>
    <w:rsid w:val="00AD6CC8"/>
    <w:rsid w:val="00AE15D2"/>
    <w:rsid w:val="00AE5129"/>
    <w:rsid w:val="00AF0EF8"/>
    <w:rsid w:val="00B13C94"/>
    <w:rsid w:val="00B418F2"/>
    <w:rsid w:val="00B66BD7"/>
    <w:rsid w:val="00B7333C"/>
    <w:rsid w:val="00B81FA6"/>
    <w:rsid w:val="00B9366C"/>
    <w:rsid w:val="00BB1DB8"/>
    <w:rsid w:val="00BB4D40"/>
    <w:rsid w:val="00BB5F9E"/>
    <w:rsid w:val="00BD2E0C"/>
    <w:rsid w:val="00C051D9"/>
    <w:rsid w:val="00C207D5"/>
    <w:rsid w:val="00C20C86"/>
    <w:rsid w:val="00C23786"/>
    <w:rsid w:val="00C26173"/>
    <w:rsid w:val="00C47247"/>
    <w:rsid w:val="00C51F5F"/>
    <w:rsid w:val="00C52C38"/>
    <w:rsid w:val="00C66889"/>
    <w:rsid w:val="00C8401E"/>
    <w:rsid w:val="00C85944"/>
    <w:rsid w:val="00C96695"/>
    <w:rsid w:val="00C9713B"/>
    <w:rsid w:val="00CA5038"/>
    <w:rsid w:val="00CB0A62"/>
    <w:rsid w:val="00CE16C8"/>
    <w:rsid w:val="00CE2DE1"/>
    <w:rsid w:val="00D25D66"/>
    <w:rsid w:val="00D5754E"/>
    <w:rsid w:val="00D73702"/>
    <w:rsid w:val="00D74B70"/>
    <w:rsid w:val="00D867A6"/>
    <w:rsid w:val="00D95B4F"/>
    <w:rsid w:val="00D95F1B"/>
    <w:rsid w:val="00D965E4"/>
    <w:rsid w:val="00DA6CD4"/>
    <w:rsid w:val="00DB3AA8"/>
    <w:rsid w:val="00DC25F5"/>
    <w:rsid w:val="00DD191E"/>
    <w:rsid w:val="00DE0011"/>
    <w:rsid w:val="00E04922"/>
    <w:rsid w:val="00E11DF7"/>
    <w:rsid w:val="00E1698A"/>
    <w:rsid w:val="00E370DC"/>
    <w:rsid w:val="00E6014D"/>
    <w:rsid w:val="00E76E9B"/>
    <w:rsid w:val="00E76EE4"/>
    <w:rsid w:val="00E815C1"/>
    <w:rsid w:val="00EA6B9D"/>
    <w:rsid w:val="00EB09EE"/>
    <w:rsid w:val="00EC4DEF"/>
    <w:rsid w:val="00F00349"/>
    <w:rsid w:val="00F0267C"/>
    <w:rsid w:val="00F06E15"/>
    <w:rsid w:val="00F17678"/>
    <w:rsid w:val="00F3226B"/>
    <w:rsid w:val="00F43C8C"/>
    <w:rsid w:val="00F43F76"/>
    <w:rsid w:val="00F53F46"/>
    <w:rsid w:val="00F6175E"/>
    <w:rsid w:val="00F85920"/>
    <w:rsid w:val="00F9772F"/>
    <w:rsid w:val="00FA5DED"/>
    <w:rsid w:val="00FC4547"/>
    <w:rsid w:val="00FE2C0C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5BCFD6"/>
  <w15:chartTrackingRefBased/>
  <w15:docId w15:val="{B1C7487E-F1D2-42EB-80B9-967A8427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32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32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E32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32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A94D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D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D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D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D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DEF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98336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B7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F39"/>
  </w:style>
  <w:style w:type="paragraph" w:styleId="Footer">
    <w:name w:val="footer"/>
    <w:basedOn w:val="Normal"/>
    <w:link w:val="FooterChar"/>
    <w:uiPriority w:val="99"/>
    <w:unhideWhenUsed/>
    <w:rsid w:val="001B7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F39"/>
  </w:style>
  <w:style w:type="paragraph" w:styleId="Revision">
    <w:name w:val="Revision"/>
    <w:hidden/>
    <w:uiPriority w:val="99"/>
    <w:semiHidden/>
    <w:rsid w:val="001B7F39"/>
    <w:pPr>
      <w:spacing w:after="0" w:line="240" w:lineRule="auto"/>
    </w:pPr>
  </w:style>
  <w:style w:type="paragraph" w:styleId="NoSpacing">
    <w:name w:val="No Spacing"/>
    <w:uiPriority w:val="1"/>
    <w:qFormat/>
    <w:rsid w:val="00126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76F724-B903-44D3-960F-88906A5BC1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E2E7FA-8102-46A4-AA73-D6CF10EA58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C3A11F-FD3B-4355-A643-412D45C3A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65D2DC-2313-4164-97EC-066BDCEF8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SUEN Margaret</dc:creator>
  <cp:keywords/>
  <dc:description/>
  <cp:lastModifiedBy>SUEN Margaret</cp:lastModifiedBy>
  <cp:revision>78</cp:revision>
  <cp:lastPrinted>2021-08-10T06:20:00Z</cp:lastPrinted>
  <dcterms:created xsi:type="dcterms:W3CDTF">2021-08-02T12:23:00Z</dcterms:created>
  <dcterms:modified xsi:type="dcterms:W3CDTF">2021-08-11T07:20:00Z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2021-06-24T09:27:46Z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5a1c866d-c301-48f7-abec-81aa66a9e4e9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0x0101001949C14D6E452D4D985F2F3C00D6D291</vt:lpwstr>
  </property>
</Properties>
</file>