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0945A" w14:textId="1B9D1737" w:rsidR="004E2B5A" w:rsidRPr="008B07F9" w:rsidRDefault="00D06744" w:rsidP="00C73734">
      <w:pPr>
        <w:rPr>
          <w:rFonts w:cstheme="minorHAnsi"/>
          <w:b/>
          <w:sz w:val="24"/>
          <w:szCs w:val="24"/>
          <w:lang w:val="ro-MD"/>
        </w:rPr>
      </w:pPr>
      <w:r w:rsidRPr="008B07F9">
        <w:rPr>
          <w:rFonts w:cstheme="minorHAnsi"/>
          <w:b/>
          <w:sz w:val="24"/>
          <w:szCs w:val="24"/>
          <w:lang w:val="ro-MD"/>
        </w:rPr>
        <w:t>Termeni de referință/ Specificații tehnice</w:t>
      </w:r>
    </w:p>
    <w:p w14:paraId="1C085046" w14:textId="77777777" w:rsidR="00D06744" w:rsidRPr="008B07F9" w:rsidRDefault="00D06744" w:rsidP="00A869A4">
      <w:pPr>
        <w:spacing w:after="0" w:line="276" w:lineRule="auto"/>
        <w:rPr>
          <w:rFonts w:eastAsia="Calibri" w:cstheme="minorHAnsi"/>
          <w:b/>
          <w:lang w:val="ro-MD"/>
        </w:rPr>
      </w:pPr>
    </w:p>
    <w:p w14:paraId="7DA258A4" w14:textId="3AE91CF2" w:rsidR="00A869A4" w:rsidRPr="008B07F9" w:rsidRDefault="00A869A4" w:rsidP="00A869A4">
      <w:pPr>
        <w:spacing w:after="0" w:line="276" w:lineRule="auto"/>
        <w:rPr>
          <w:rFonts w:eastAsia="Calibri" w:cstheme="minorHAnsi"/>
          <w:b/>
          <w:lang w:val="ro-MD"/>
        </w:rPr>
      </w:pPr>
      <w:r w:rsidRPr="008B07F9">
        <w:rPr>
          <w:rFonts w:eastAsia="Calibri" w:cstheme="minorHAnsi"/>
          <w:b/>
          <w:lang w:val="ro-MD"/>
        </w:rPr>
        <w:t xml:space="preserve">1. </w:t>
      </w:r>
      <w:r w:rsidR="00D06744" w:rsidRPr="008B07F9">
        <w:rPr>
          <w:rFonts w:eastAsia="Calibri" w:cstheme="minorHAnsi"/>
          <w:b/>
          <w:lang w:val="ro-MD"/>
        </w:rPr>
        <w:t>Introducere și obiective</w:t>
      </w:r>
    </w:p>
    <w:p w14:paraId="759EE2DD" w14:textId="68743119" w:rsidR="00C044AB" w:rsidRPr="008B07F9" w:rsidRDefault="00D06744" w:rsidP="00C044AB">
      <w:pPr>
        <w:spacing w:after="0" w:line="276" w:lineRule="auto"/>
        <w:jc w:val="both"/>
        <w:rPr>
          <w:rFonts w:eastAsia="Calibri" w:cstheme="minorHAnsi"/>
          <w:lang w:val="ro-MD"/>
        </w:rPr>
      </w:pPr>
      <w:r w:rsidRPr="008B07F9">
        <w:rPr>
          <w:rFonts w:eastAsia="Calibri" w:cstheme="minorHAnsi"/>
          <w:lang w:val="ro-MD"/>
        </w:rPr>
        <w:t>Moldova se numără printre cele mai tinere țări din Europa, 30% din populația sa reprezentând tineri (BNS, numărul populației cu reședința obișnuită în Republica Moldova de la 1 ianuarie 2019). Tineretul reprezintă forța sa motrice care poate duce la o societate incluzivă, democratică și pașnică și să aducă schimbările sociale și economice de care țara are nevoie. Cu toate acestea, angajamentul civic al tinerilor din Moldova este relativ scăzut. Doar 18,1% din tinerii moldoveni sunt implicați în voluntariat, mai ales în mediul urban și mai puțin în mediul rural. Aproximativ 20% dintre tineri intenționează să emigreze în scopuri de muncă și 27% tineri nici nu sunt în învățământ și nici nu sunt angajați. Aceasta scade participarea potențială a tinerilor în procesele democratice din țară și contribuția lor la dezvoltarea socială și economică a Moldovei.</w:t>
      </w:r>
    </w:p>
    <w:p w14:paraId="4C8C7FC5" w14:textId="77777777" w:rsidR="00133D9D" w:rsidRPr="008B07F9" w:rsidRDefault="00133D9D" w:rsidP="00C044AB">
      <w:pPr>
        <w:spacing w:after="0" w:line="276" w:lineRule="auto"/>
        <w:jc w:val="both"/>
        <w:rPr>
          <w:rFonts w:eastAsia="Calibri" w:cstheme="minorHAnsi"/>
          <w:lang w:val="ro-MD"/>
        </w:rPr>
      </w:pPr>
    </w:p>
    <w:p w14:paraId="18721F36" w14:textId="6AB5B034" w:rsidR="00C044AB" w:rsidRPr="008B07F9" w:rsidRDefault="00133D9D" w:rsidP="00C044AB">
      <w:pPr>
        <w:spacing w:after="0" w:line="276" w:lineRule="auto"/>
        <w:jc w:val="both"/>
        <w:rPr>
          <w:rFonts w:eastAsia="Calibri" w:cstheme="minorHAnsi"/>
          <w:lang w:val="ro-MD"/>
        </w:rPr>
      </w:pPr>
      <w:r w:rsidRPr="008B07F9">
        <w:rPr>
          <w:rFonts w:eastAsia="Calibri" w:cstheme="minorHAnsi"/>
          <w:lang w:val="ro-MD"/>
        </w:rPr>
        <w:t>Serviciile de calitate pentru tineri la nivel local, precum și diversificarea oportunităților de participare și implicare a tinerilor la nivel de comunitate au un rol cheie în dezvoltarea și realizarea tinerilor. În același timp, infrastructura existentă pentru tineret, cum ar fi centrele pentru tineret, servește ca actor comunitar cheie, care, în parteneriat cu școala, autoritățile publice locale (APL), organizațiile neguvernamentale (ONG-uri) și alți parteneri locali, sprijină tinerii să își aplice cunoștințele în practică și să își dezvolte abilitățile de participare la viața comunității. Pentru a sprijini tinerii să se dezvolte și să se implice în comunitatea lor, este nevoie de o cooperare strânsă între actorii locali principali.</w:t>
      </w:r>
    </w:p>
    <w:p w14:paraId="6C65DC01" w14:textId="77777777" w:rsidR="00133D9D" w:rsidRPr="008B07F9" w:rsidRDefault="00133D9D" w:rsidP="00C044AB">
      <w:pPr>
        <w:spacing w:after="0" w:line="276" w:lineRule="auto"/>
        <w:jc w:val="both"/>
        <w:rPr>
          <w:rFonts w:eastAsia="Calibri" w:cstheme="minorHAnsi"/>
          <w:lang w:val="ro-MD"/>
        </w:rPr>
      </w:pPr>
    </w:p>
    <w:p w14:paraId="1C90B122" w14:textId="51E9165D" w:rsidR="00C044AB" w:rsidRPr="008B07F9" w:rsidRDefault="00133D9D" w:rsidP="00C044AB">
      <w:pPr>
        <w:spacing w:after="0" w:line="276" w:lineRule="auto"/>
        <w:jc w:val="both"/>
        <w:rPr>
          <w:rFonts w:eastAsia="Calibri" w:cstheme="minorHAnsi"/>
          <w:lang w:val="ro-MD"/>
        </w:rPr>
      </w:pPr>
      <w:r w:rsidRPr="008B07F9">
        <w:rPr>
          <w:rFonts w:eastAsia="Calibri" w:cstheme="minorHAnsi"/>
          <w:lang w:val="ro-MD"/>
        </w:rPr>
        <w:t>Ministerul Educației, Culturii și Cercetării (MECR) a lansat Programul național de dezvoltare a centrelor de tineret în 2017, pentru a dezvolta servicii pentru tineret la nivel local. Fondul Națiunilor Unite pentru Populație (UNFPA) a devenit partenerul principal al MECR în cadrul acestui program, având rolul de a dezvolta resursele umane ale centrelor de tineret și de a consolida serviciile oferite tinerilor, inclusiv celor mai vulnerabili. În 2018, Agenția Elvețiană pentru Dezvoltare și Cooperare (SDC) s-a alăturat acestor eforturi prin proiectul „Participare consolidată și angajament civic în rândul tinerilor din Moldova”.</w:t>
      </w:r>
    </w:p>
    <w:p w14:paraId="760BCF30" w14:textId="77777777" w:rsidR="00133D9D" w:rsidRPr="008B07F9" w:rsidRDefault="00133D9D" w:rsidP="00C044AB">
      <w:pPr>
        <w:spacing w:after="0" w:line="276" w:lineRule="auto"/>
        <w:jc w:val="both"/>
        <w:rPr>
          <w:rFonts w:eastAsia="Calibri" w:cstheme="minorHAnsi"/>
          <w:lang w:val="ro-MD"/>
        </w:rPr>
      </w:pPr>
    </w:p>
    <w:p w14:paraId="514A49B8" w14:textId="1C34922C" w:rsidR="003E4EEE" w:rsidRPr="008B07F9" w:rsidRDefault="00133D9D" w:rsidP="00C044AB">
      <w:pPr>
        <w:spacing w:after="0" w:line="276" w:lineRule="auto"/>
        <w:jc w:val="both"/>
        <w:rPr>
          <w:rFonts w:eastAsia="Calibri" w:cstheme="minorHAnsi"/>
          <w:lang w:val="ro-MD"/>
        </w:rPr>
      </w:pPr>
      <w:r w:rsidRPr="008B07F9">
        <w:rPr>
          <w:rFonts w:eastAsia="Calibri" w:cstheme="minorHAnsi"/>
          <w:lang w:val="ro-MD"/>
        </w:rPr>
        <w:t xml:space="preserve">Scopul proiectului este împuternicirea și implicarea civică a tinerilor, sprijinindu-i să facă alegeri </w:t>
      </w:r>
      <w:r w:rsidR="00454F0F" w:rsidRPr="008B07F9">
        <w:rPr>
          <w:rFonts w:eastAsia="Calibri" w:cstheme="minorHAnsi"/>
          <w:lang w:val="ro-MD"/>
        </w:rPr>
        <w:t>responsabile</w:t>
      </w:r>
      <w:r w:rsidRPr="008B07F9">
        <w:rPr>
          <w:rFonts w:eastAsia="Calibri" w:cstheme="minorHAnsi"/>
          <w:lang w:val="ro-MD"/>
        </w:rPr>
        <w:t xml:space="preserve">, să contribuie la procesele democratice din țară, să construiască comunități în care drepturile omului și egalitatea de gen </w:t>
      </w:r>
      <w:r w:rsidR="00454F0F" w:rsidRPr="008B07F9">
        <w:rPr>
          <w:rFonts w:eastAsia="Calibri" w:cstheme="minorHAnsi"/>
          <w:lang w:val="ro-MD"/>
        </w:rPr>
        <w:t>sunt</w:t>
      </w:r>
      <w:r w:rsidRPr="008B07F9">
        <w:rPr>
          <w:rFonts w:eastAsia="Calibri" w:cstheme="minorHAnsi"/>
          <w:lang w:val="ro-MD"/>
        </w:rPr>
        <w:t xml:space="preserve"> respectate</w:t>
      </w:r>
      <w:r w:rsidR="00454F0F" w:rsidRPr="008B07F9">
        <w:rPr>
          <w:rFonts w:eastAsia="Calibri" w:cstheme="minorHAnsi"/>
          <w:lang w:val="ro-MD"/>
        </w:rPr>
        <w:t>,</w:t>
      </w:r>
      <w:r w:rsidRPr="008B07F9">
        <w:rPr>
          <w:rFonts w:eastAsia="Calibri" w:cstheme="minorHAnsi"/>
          <w:lang w:val="ro-MD"/>
        </w:rPr>
        <w:t xml:space="preserve"> și să contribuie la dezvoltarea economică a țării.</w:t>
      </w:r>
    </w:p>
    <w:p w14:paraId="60832049" w14:textId="77777777" w:rsidR="00133D9D" w:rsidRPr="008B07F9" w:rsidRDefault="00133D9D" w:rsidP="00C044AB">
      <w:pPr>
        <w:spacing w:after="0" w:line="276" w:lineRule="auto"/>
        <w:jc w:val="both"/>
        <w:rPr>
          <w:rFonts w:eastAsia="Calibri" w:cstheme="minorHAnsi"/>
          <w:lang w:val="ro-MD"/>
        </w:rPr>
      </w:pPr>
    </w:p>
    <w:p w14:paraId="7A00B7AD" w14:textId="207A3259" w:rsidR="003E4EEE" w:rsidRPr="008B07F9" w:rsidRDefault="000A54A8" w:rsidP="00C044AB">
      <w:pPr>
        <w:spacing w:after="0" w:line="276" w:lineRule="auto"/>
        <w:jc w:val="both"/>
        <w:rPr>
          <w:rFonts w:eastAsia="Calibri" w:cstheme="minorHAnsi"/>
          <w:lang w:val="ro-MD" w:eastAsia="et-EE"/>
        </w:rPr>
      </w:pPr>
      <w:r w:rsidRPr="008B07F9">
        <w:rPr>
          <w:rFonts w:eastAsia="Calibri" w:cstheme="minorHAnsi"/>
          <w:lang w:val="ro-MD" w:eastAsia="et-EE"/>
        </w:rPr>
        <w:t>Obiectivul general este realizarea lucrărilor de reconstrucție / modificare a 5 centre de tineret din Republica Moldova (Bălți, Criuleni, Nisporeni, Orhei și Soroca) și îmbunătățirea accesibilității la aceste clădiri ale centrelor de tineret pentru tinerii cu toate tipurile de dizabilități, în baza abordării multidimensionale.</w:t>
      </w:r>
    </w:p>
    <w:p w14:paraId="4305863E" w14:textId="77777777" w:rsidR="00454F0F" w:rsidRPr="008B07F9" w:rsidRDefault="00454F0F" w:rsidP="00C044AB">
      <w:pPr>
        <w:spacing w:after="0" w:line="276" w:lineRule="auto"/>
        <w:jc w:val="both"/>
        <w:rPr>
          <w:rFonts w:eastAsia="Calibri" w:cstheme="minorHAnsi"/>
          <w:lang w:val="ro-MD"/>
        </w:rPr>
      </w:pPr>
    </w:p>
    <w:p w14:paraId="743D89D7" w14:textId="77777777" w:rsidR="00454F0F" w:rsidRPr="008B07F9" w:rsidRDefault="00454F0F" w:rsidP="00F25372">
      <w:pPr>
        <w:spacing w:after="0" w:line="276" w:lineRule="auto"/>
        <w:jc w:val="both"/>
        <w:rPr>
          <w:rFonts w:eastAsia="Calibri" w:cstheme="minorHAnsi"/>
          <w:b/>
          <w:lang w:val="ro-MD"/>
        </w:rPr>
      </w:pPr>
      <w:r w:rsidRPr="008B07F9">
        <w:rPr>
          <w:rFonts w:eastAsia="Calibri" w:cstheme="minorHAnsi"/>
          <w:b/>
          <w:lang w:val="ro-MD"/>
        </w:rPr>
        <w:t>2. Conținutul lucrărilor și beneficiarii</w:t>
      </w:r>
    </w:p>
    <w:p w14:paraId="578862EB" w14:textId="3C6DBD1B" w:rsidR="00A64917" w:rsidRPr="008B07F9" w:rsidRDefault="00A869A4" w:rsidP="00F25372">
      <w:pPr>
        <w:spacing w:after="0" w:line="276" w:lineRule="auto"/>
        <w:jc w:val="both"/>
        <w:rPr>
          <w:rFonts w:eastAsia="Calibri" w:cstheme="minorHAnsi"/>
          <w:lang w:val="ro-MD" w:eastAsia="et-EE"/>
        </w:rPr>
      </w:pPr>
      <w:r w:rsidRPr="008B07F9">
        <w:rPr>
          <w:rFonts w:eastAsia="Calibri" w:cstheme="minorHAnsi"/>
          <w:lang w:val="ro-MD" w:eastAsia="et-EE"/>
        </w:rPr>
        <w:t xml:space="preserve">2.1 </w:t>
      </w:r>
      <w:r w:rsidR="00454F0F" w:rsidRPr="008B07F9">
        <w:rPr>
          <w:rFonts w:eastAsia="Calibri" w:cstheme="minorHAnsi"/>
          <w:lang w:val="ro-MD" w:eastAsia="et-EE"/>
        </w:rPr>
        <w:t>Prezentul caiet de sarcini prevede construirea a cinci centre de tineret situate în localitățile Bălți, Criuleni, Nisporeni, Orhei și Soroca. Toate aceste tipuri de lucrări vor asigura pe deplin condițiile standard de funcționare ale centrelor respective.</w:t>
      </w:r>
    </w:p>
    <w:p w14:paraId="1756F65A" w14:textId="77777777" w:rsidR="00BC2D29" w:rsidRPr="008B07F9" w:rsidRDefault="00BC2D29" w:rsidP="00F25372">
      <w:pPr>
        <w:spacing w:after="0" w:line="276" w:lineRule="auto"/>
        <w:jc w:val="both"/>
        <w:rPr>
          <w:rFonts w:eastAsia="Calibri" w:cstheme="minorHAnsi"/>
          <w:highlight w:val="yellow"/>
          <w:lang w:val="ro-MD" w:eastAsia="et-EE"/>
        </w:rPr>
      </w:pPr>
    </w:p>
    <w:p w14:paraId="199D8A0D" w14:textId="77777777" w:rsidR="00BC2D29" w:rsidRPr="008B07F9" w:rsidRDefault="00BC2D29" w:rsidP="00F25372">
      <w:pPr>
        <w:spacing w:after="0" w:line="276" w:lineRule="auto"/>
        <w:jc w:val="both"/>
        <w:rPr>
          <w:rFonts w:eastAsia="Calibri" w:cstheme="minorHAnsi"/>
          <w:highlight w:val="yellow"/>
          <w:lang w:val="ro-MD" w:eastAsia="et-EE"/>
        </w:rPr>
      </w:pPr>
    </w:p>
    <w:p w14:paraId="4BC5E51F" w14:textId="77777777" w:rsidR="00BC2D29" w:rsidRPr="008B07F9" w:rsidRDefault="00BC2D29" w:rsidP="00F25372">
      <w:pPr>
        <w:spacing w:after="0" w:line="276" w:lineRule="auto"/>
        <w:jc w:val="both"/>
        <w:rPr>
          <w:rFonts w:eastAsia="Calibri" w:cstheme="minorHAnsi"/>
          <w:highlight w:val="yellow"/>
          <w:lang w:val="ro-MD" w:eastAsia="et-EE"/>
        </w:rPr>
      </w:pPr>
    </w:p>
    <w:p w14:paraId="17DBF787" w14:textId="75F2E058" w:rsidR="00A869A4" w:rsidRPr="008B07F9" w:rsidRDefault="00A869A4" w:rsidP="00A869A4">
      <w:pPr>
        <w:spacing w:after="0" w:line="276" w:lineRule="auto"/>
        <w:jc w:val="both"/>
        <w:rPr>
          <w:rFonts w:eastAsia="Calibri" w:cstheme="minorHAnsi"/>
          <w:lang w:val="ro-MD" w:eastAsia="et-EE"/>
        </w:rPr>
      </w:pPr>
      <w:r w:rsidRPr="008B07F9">
        <w:rPr>
          <w:rFonts w:eastAsia="Calibri" w:cstheme="minorHAnsi"/>
          <w:lang w:val="ro-MD" w:eastAsia="et-EE"/>
        </w:rPr>
        <w:lastRenderedPageBreak/>
        <w:t xml:space="preserve">2.2 </w:t>
      </w:r>
      <w:r w:rsidR="00087BD1" w:rsidRPr="008B07F9">
        <w:rPr>
          <w:rFonts w:eastAsia="Calibri" w:cstheme="minorHAnsi"/>
          <w:lang w:val="ro-MD" w:eastAsia="et-EE"/>
        </w:rPr>
        <w:t>Lucrările de reconstrucție / modificare pentru care este lansată această invitație la licitație se referă la 5 (cinci) loturi prezentate în tabelul de mai jos</w:t>
      </w:r>
      <w:r w:rsidRPr="008B07F9">
        <w:rPr>
          <w:rFonts w:eastAsia="Calibri" w:cstheme="minorHAnsi"/>
          <w:lang w:val="ro-MD" w:eastAsia="et-EE"/>
        </w:rPr>
        <w:t>:</w:t>
      </w:r>
    </w:p>
    <w:p w14:paraId="3F93CED4" w14:textId="77777777" w:rsidR="00F25372" w:rsidRPr="008B07F9" w:rsidRDefault="00F25372" w:rsidP="00A869A4">
      <w:pPr>
        <w:spacing w:after="0" w:line="276" w:lineRule="auto"/>
        <w:jc w:val="both"/>
        <w:rPr>
          <w:rFonts w:eastAsia="Calibri" w:cstheme="minorHAnsi"/>
          <w:lang w:val="ro-MD" w:eastAsia="et-EE"/>
        </w:rPr>
      </w:pPr>
    </w:p>
    <w:tbl>
      <w:tblPr>
        <w:tblStyle w:val="TableGrid"/>
        <w:tblW w:w="9923" w:type="dxa"/>
        <w:tblInd w:w="108" w:type="dxa"/>
        <w:tblLook w:val="04A0" w:firstRow="1" w:lastRow="0" w:firstColumn="1" w:lastColumn="0" w:noHBand="0" w:noVBand="1"/>
      </w:tblPr>
      <w:tblGrid>
        <w:gridCol w:w="530"/>
        <w:gridCol w:w="5680"/>
        <w:gridCol w:w="3713"/>
      </w:tblGrid>
      <w:tr w:rsidR="00F25372" w:rsidRPr="008B07F9" w14:paraId="63CEA39B" w14:textId="77777777" w:rsidTr="00087BD1">
        <w:tc>
          <w:tcPr>
            <w:tcW w:w="530" w:type="dxa"/>
            <w:shd w:val="clear" w:color="auto" w:fill="E7E6E6" w:themeFill="background2"/>
          </w:tcPr>
          <w:p w14:paraId="04E36F26" w14:textId="79944DAF" w:rsidR="00F25372" w:rsidRPr="008B07F9" w:rsidRDefault="00087BD1" w:rsidP="003B4B07">
            <w:pPr>
              <w:jc w:val="center"/>
              <w:rPr>
                <w:rFonts w:cstheme="minorHAnsi"/>
                <w:lang w:val="ro-MD"/>
              </w:rPr>
            </w:pPr>
            <w:r w:rsidRPr="008B07F9">
              <w:rPr>
                <w:rFonts w:cstheme="minorHAnsi"/>
                <w:lang w:val="ro-MD"/>
              </w:rPr>
              <w:t>Nr</w:t>
            </w:r>
            <w:r w:rsidR="00F25372" w:rsidRPr="008B07F9">
              <w:rPr>
                <w:rFonts w:cstheme="minorHAnsi"/>
                <w:lang w:val="ro-MD"/>
              </w:rPr>
              <w:t>.</w:t>
            </w:r>
          </w:p>
        </w:tc>
        <w:tc>
          <w:tcPr>
            <w:tcW w:w="5680" w:type="dxa"/>
            <w:shd w:val="clear" w:color="auto" w:fill="E7E6E6" w:themeFill="background2"/>
          </w:tcPr>
          <w:p w14:paraId="242BBDAD" w14:textId="6A8C57C6" w:rsidR="00F25372" w:rsidRPr="008B07F9" w:rsidRDefault="0087730A" w:rsidP="003B4B07">
            <w:pPr>
              <w:jc w:val="center"/>
              <w:rPr>
                <w:rFonts w:cstheme="minorHAnsi"/>
                <w:lang w:val="ro-MD"/>
              </w:rPr>
            </w:pPr>
            <w:r w:rsidRPr="008B07F9">
              <w:rPr>
                <w:rFonts w:cstheme="minorHAnsi"/>
                <w:lang w:val="ro-MD"/>
              </w:rPr>
              <w:t>Descriere</w:t>
            </w:r>
          </w:p>
        </w:tc>
        <w:tc>
          <w:tcPr>
            <w:tcW w:w="3713" w:type="dxa"/>
            <w:shd w:val="clear" w:color="auto" w:fill="E7E6E6" w:themeFill="background2"/>
          </w:tcPr>
          <w:p w14:paraId="3D186A84" w14:textId="31FB3FB1" w:rsidR="00F25372" w:rsidRPr="008B07F9" w:rsidRDefault="00087BD1" w:rsidP="003B4B07">
            <w:pPr>
              <w:jc w:val="center"/>
              <w:rPr>
                <w:rFonts w:cstheme="minorHAnsi"/>
                <w:lang w:val="ro-MD"/>
              </w:rPr>
            </w:pPr>
            <w:r w:rsidRPr="008B07F9">
              <w:rPr>
                <w:rFonts w:cstheme="minorHAnsi"/>
                <w:lang w:val="ro-MD"/>
              </w:rPr>
              <w:t>Adresa</w:t>
            </w:r>
          </w:p>
        </w:tc>
      </w:tr>
      <w:tr w:rsidR="00F25372" w:rsidRPr="008B07F9" w14:paraId="559C2BEF" w14:textId="77777777" w:rsidTr="00087BD1">
        <w:tc>
          <w:tcPr>
            <w:tcW w:w="530" w:type="dxa"/>
          </w:tcPr>
          <w:p w14:paraId="0BCB9211" w14:textId="0236C6EA" w:rsidR="00F25372" w:rsidRPr="008B07F9" w:rsidRDefault="00F25372" w:rsidP="003B4B07">
            <w:pPr>
              <w:jc w:val="center"/>
              <w:rPr>
                <w:rFonts w:cstheme="minorHAnsi"/>
                <w:lang w:val="ro-MD"/>
              </w:rPr>
            </w:pPr>
            <w:r w:rsidRPr="008B07F9">
              <w:rPr>
                <w:rFonts w:cstheme="minorHAnsi"/>
                <w:lang w:val="ro-MD"/>
              </w:rPr>
              <w:t>1</w:t>
            </w:r>
          </w:p>
        </w:tc>
        <w:tc>
          <w:tcPr>
            <w:tcW w:w="5680" w:type="dxa"/>
          </w:tcPr>
          <w:p w14:paraId="1BAF40D0" w14:textId="64777AC1" w:rsidR="00F25372" w:rsidRPr="008B07F9" w:rsidRDefault="00087BD1" w:rsidP="00087BD1">
            <w:pPr>
              <w:rPr>
                <w:rFonts w:cstheme="minorHAnsi"/>
                <w:lang w:val="ro-MD"/>
              </w:rPr>
            </w:pPr>
            <w:r w:rsidRPr="008B07F9">
              <w:rPr>
                <w:rFonts w:cstheme="minorHAnsi"/>
                <w:lang w:val="ro-MD"/>
              </w:rPr>
              <w:t xml:space="preserve">Lucrări de renovare / modificare a Centrului de Tineret Bălți conform Devizului </w:t>
            </w:r>
            <w:r w:rsidR="0087730A" w:rsidRPr="008B07F9">
              <w:rPr>
                <w:rFonts w:cstheme="minorHAnsi"/>
                <w:lang w:val="ro-MD"/>
              </w:rPr>
              <w:t>atașat</w:t>
            </w:r>
            <w:r w:rsidRPr="008B07F9">
              <w:rPr>
                <w:rFonts w:cstheme="minorHAnsi"/>
                <w:lang w:val="ro-MD"/>
              </w:rPr>
              <w:t xml:space="preserve"> (a se vedea Anexa 1)</w:t>
            </w:r>
          </w:p>
        </w:tc>
        <w:tc>
          <w:tcPr>
            <w:tcW w:w="3713" w:type="dxa"/>
          </w:tcPr>
          <w:p w14:paraId="2D562C9A" w14:textId="77777777" w:rsidR="00F25372" w:rsidRPr="008B07F9" w:rsidRDefault="00F25372" w:rsidP="003B4B07">
            <w:pPr>
              <w:rPr>
                <w:rFonts w:cstheme="minorHAnsi"/>
                <w:lang w:val="ro-MD"/>
              </w:rPr>
            </w:pPr>
            <w:r w:rsidRPr="008B07F9">
              <w:rPr>
                <w:rFonts w:cstheme="minorHAnsi"/>
                <w:lang w:val="ro-MD"/>
              </w:rPr>
              <w:t>Str. Konev 7, or. Bălți</w:t>
            </w:r>
          </w:p>
        </w:tc>
      </w:tr>
      <w:tr w:rsidR="00F25372" w:rsidRPr="008B07F9" w14:paraId="5EAFC9A4" w14:textId="77777777" w:rsidTr="00087BD1">
        <w:tc>
          <w:tcPr>
            <w:tcW w:w="530" w:type="dxa"/>
          </w:tcPr>
          <w:p w14:paraId="1C5B7EE6" w14:textId="774B8D0A" w:rsidR="00F25372" w:rsidRPr="008B07F9" w:rsidRDefault="00F25372" w:rsidP="003B4B07">
            <w:pPr>
              <w:jc w:val="center"/>
              <w:rPr>
                <w:rFonts w:cstheme="minorHAnsi"/>
                <w:lang w:val="ro-MD"/>
              </w:rPr>
            </w:pPr>
            <w:r w:rsidRPr="008B07F9">
              <w:rPr>
                <w:rFonts w:cstheme="minorHAnsi"/>
                <w:lang w:val="ro-MD"/>
              </w:rPr>
              <w:t>2</w:t>
            </w:r>
          </w:p>
        </w:tc>
        <w:tc>
          <w:tcPr>
            <w:tcW w:w="5680" w:type="dxa"/>
          </w:tcPr>
          <w:p w14:paraId="7D1FFA51" w14:textId="7E0A1034" w:rsidR="00F25372" w:rsidRPr="008B07F9" w:rsidRDefault="0087730A" w:rsidP="003B4B07">
            <w:pPr>
              <w:rPr>
                <w:rFonts w:cstheme="minorHAnsi"/>
                <w:lang w:val="ro-MD"/>
              </w:rPr>
            </w:pPr>
            <w:r w:rsidRPr="008B07F9">
              <w:rPr>
                <w:rFonts w:cstheme="minorHAnsi"/>
                <w:lang w:val="ro-MD"/>
              </w:rPr>
              <w:t xml:space="preserve">Lucrări de renovare / modificare a Centrului de Tineret </w:t>
            </w:r>
            <w:r w:rsidR="00F25372" w:rsidRPr="008B07F9">
              <w:rPr>
                <w:rFonts w:cstheme="minorHAnsi"/>
                <w:lang w:val="ro-MD"/>
              </w:rPr>
              <w:t>Criuleni</w:t>
            </w:r>
            <w:r w:rsidRPr="008B07F9">
              <w:rPr>
                <w:rFonts w:cstheme="minorHAnsi"/>
                <w:lang w:val="ro-MD"/>
              </w:rPr>
              <w:t xml:space="preserve"> </w:t>
            </w:r>
            <w:r w:rsidRPr="008B07F9">
              <w:rPr>
                <w:rFonts w:cstheme="minorHAnsi"/>
                <w:lang w:val="ro-MD"/>
              </w:rPr>
              <w:t>conform Devizului atașat (a se vedea A</w:t>
            </w:r>
            <w:r w:rsidRPr="008B07F9">
              <w:rPr>
                <w:rFonts w:cstheme="minorHAnsi"/>
                <w:lang w:val="ro-MD"/>
              </w:rPr>
              <w:t>nexa 2</w:t>
            </w:r>
            <w:r w:rsidRPr="008B07F9">
              <w:rPr>
                <w:rFonts w:cstheme="minorHAnsi"/>
                <w:lang w:val="ro-MD"/>
              </w:rPr>
              <w:t>)</w:t>
            </w:r>
          </w:p>
        </w:tc>
        <w:tc>
          <w:tcPr>
            <w:tcW w:w="3713" w:type="dxa"/>
          </w:tcPr>
          <w:p w14:paraId="4ED3018B" w14:textId="6AB7029C" w:rsidR="00F25372" w:rsidRPr="008B07F9" w:rsidRDefault="00087BD1" w:rsidP="003B4B07">
            <w:pPr>
              <w:rPr>
                <w:rFonts w:cstheme="minorHAnsi"/>
                <w:lang w:val="ro-MD"/>
              </w:rPr>
            </w:pPr>
            <w:r w:rsidRPr="008B07F9">
              <w:rPr>
                <w:rFonts w:cstheme="minorHAnsi"/>
                <w:lang w:val="ro-MD"/>
              </w:rPr>
              <w:t>Str. 31 August</w:t>
            </w:r>
            <w:r w:rsidR="00F25372" w:rsidRPr="008B07F9">
              <w:rPr>
                <w:rFonts w:cstheme="minorHAnsi"/>
                <w:lang w:val="ro-MD"/>
              </w:rPr>
              <w:t xml:space="preserve"> 106</w:t>
            </w:r>
            <w:r w:rsidRPr="008B07F9">
              <w:rPr>
                <w:rFonts w:cstheme="minorHAnsi"/>
                <w:lang w:val="ro-MD"/>
              </w:rPr>
              <w:t>,</w:t>
            </w:r>
            <w:r w:rsidR="00F25372" w:rsidRPr="008B07F9">
              <w:rPr>
                <w:rFonts w:cstheme="minorHAnsi"/>
                <w:lang w:val="ro-MD"/>
              </w:rPr>
              <w:t xml:space="preserve"> or. Criuleni</w:t>
            </w:r>
          </w:p>
        </w:tc>
      </w:tr>
      <w:tr w:rsidR="00F25372" w:rsidRPr="008B07F9" w14:paraId="1970E9B3" w14:textId="77777777" w:rsidTr="00087BD1">
        <w:tc>
          <w:tcPr>
            <w:tcW w:w="530" w:type="dxa"/>
          </w:tcPr>
          <w:p w14:paraId="18D773C5" w14:textId="3B5C17FA" w:rsidR="00F25372" w:rsidRPr="008B07F9" w:rsidRDefault="00F25372" w:rsidP="003B4B07">
            <w:pPr>
              <w:jc w:val="center"/>
              <w:rPr>
                <w:rFonts w:cstheme="minorHAnsi"/>
                <w:lang w:val="ro-MD"/>
              </w:rPr>
            </w:pPr>
            <w:r w:rsidRPr="008B07F9">
              <w:rPr>
                <w:rFonts w:cstheme="minorHAnsi"/>
                <w:lang w:val="ro-MD"/>
              </w:rPr>
              <w:t>3</w:t>
            </w:r>
          </w:p>
        </w:tc>
        <w:tc>
          <w:tcPr>
            <w:tcW w:w="5680" w:type="dxa"/>
          </w:tcPr>
          <w:p w14:paraId="1C810238" w14:textId="3D972D9A" w:rsidR="00F25372" w:rsidRPr="008B07F9" w:rsidRDefault="0087730A" w:rsidP="003B4B07">
            <w:pPr>
              <w:rPr>
                <w:rFonts w:cstheme="minorHAnsi"/>
                <w:lang w:val="ro-MD"/>
              </w:rPr>
            </w:pPr>
            <w:r w:rsidRPr="008B07F9">
              <w:rPr>
                <w:rFonts w:cstheme="minorHAnsi"/>
                <w:lang w:val="ro-MD"/>
              </w:rPr>
              <w:t xml:space="preserve">Lucrări de renovare / modificare a Centrului de Tineret </w:t>
            </w:r>
            <w:r w:rsidR="00F25372" w:rsidRPr="008B07F9">
              <w:rPr>
                <w:rFonts w:cstheme="minorHAnsi"/>
                <w:lang w:val="ro-MD"/>
              </w:rPr>
              <w:t>Nisporeni</w:t>
            </w:r>
            <w:r w:rsidRPr="008B07F9">
              <w:rPr>
                <w:rFonts w:cstheme="minorHAnsi"/>
                <w:lang w:val="ro-MD"/>
              </w:rPr>
              <w:t xml:space="preserve"> </w:t>
            </w:r>
            <w:r w:rsidRPr="008B07F9">
              <w:rPr>
                <w:rFonts w:cstheme="minorHAnsi"/>
                <w:lang w:val="ro-MD"/>
              </w:rPr>
              <w:t>conform Devizului atașat (a se vedea A</w:t>
            </w:r>
            <w:r w:rsidRPr="008B07F9">
              <w:rPr>
                <w:rFonts w:cstheme="minorHAnsi"/>
                <w:lang w:val="ro-MD"/>
              </w:rPr>
              <w:t>nexa 3</w:t>
            </w:r>
            <w:r w:rsidRPr="008B07F9">
              <w:rPr>
                <w:rFonts w:cstheme="minorHAnsi"/>
                <w:lang w:val="ro-MD"/>
              </w:rPr>
              <w:t>)</w:t>
            </w:r>
          </w:p>
        </w:tc>
        <w:tc>
          <w:tcPr>
            <w:tcW w:w="3713" w:type="dxa"/>
          </w:tcPr>
          <w:p w14:paraId="1C3ED3EC" w14:textId="7657550F" w:rsidR="00F25372" w:rsidRPr="008B07F9" w:rsidRDefault="00087BD1" w:rsidP="003B4B07">
            <w:pPr>
              <w:rPr>
                <w:rFonts w:cstheme="minorHAnsi"/>
                <w:lang w:val="ro-MD"/>
              </w:rPr>
            </w:pPr>
            <w:r w:rsidRPr="008B07F9">
              <w:rPr>
                <w:rFonts w:cstheme="minorHAnsi"/>
                <w:lang w:val="ro-MD"/>
              </w:rPr>
              <w:t>Str. Suveranității</w:t>
            </w:r>
            <w:r w:rsidR="00F25372" w:rsidRPr="008B07F9">
              <w:rPr>
                <w:rFonts w:cstheme="minorHAnsi"/>
                <w:lang w:val="ro-MD"/>
              </w:rPr>
              <w:t xml:space="preserve"> 4</w:t>
            </w:r>
            <w:r w:rsidRPr="008B07F9">
              <w:rPr>
                <w:rFonts w:cstheme="minorHAnsi"/>
                <w:lang w:val="ro-MD"/>
              </w:rPr>
              <w:t>,</w:t>
            </w:r>
            <w:r w:rsidR="00F25372" w:rsidRPr="008B07F9">
              <w:rPr>
                <w:rFonts w:cstheme="minorHAnsi"/>
                <w:lang w:val="ro-MD"/>
              </w:rPr>
              <w:t xml:space="preserve"> or. Nisporeni</w:t>
            </w:r>
          </w:p>
        </w:tc>
      </w:tr>
      <w:tr w:rsidR="00F25372" w:rsidRPr="008B07F9" w14:paraId="13C2D77D" w14:textId="77777777" w:rsidTr="00087BD1">
        <w:tc>
          <w:tcPr>
            <w:tcW w:w="530" w:type="dxa"/>
          </w:tcPr>
          <w:p w14:paraId="76CE6BCF" w14:textId="34ECABB3" w:rsidR="00F25372" w:rsidRPr="008B07F9" w:rsidRDefault="00F25372" w:rsidP="003B4B07">
            <w:pPr>
              <w:jc w:val="center"/>
              <w:rPr>
                <w:rFonts w:cstheme="minorHAnsi"/>
                <w:lang w:val="ro-MD"/>
              </w:rPr>
            </w:pPr>
            <w:r w:rsidRPr="008B07F9">
              <w:rPr>
                <w:rFonts w:cstheme="minorHAnsi"/>
                <w:lang w:val="ro-MD"/>
              </w:rPr>
              <w:t>4</w:t>
            </w:r>
          </w:p>
        </w:tc>
        <w:tc>
          <w:tcPr>
            <w:tcW w:w="5680" w:type="dxa"/>
          </w:tcPr>
          <w:p w14:paraId="680ACE38" w14:textId="5CD83ECD" w:rsidR="00F25372" w:rsidRPr="008B07F9" w:rsidRDefault="0087730A" w:rsidP="003B4B07">
            <w:pPr>
              <w:rPr>
                <w:rFonts w:cstheme="minorHAnsi"/>
                <w:lang w:val="ro-MD"/>
              </w:rPr>
            </w:pPr>
            <w:r w:rsidRPr="008B07F9">
              <w:rPr>
                <w:rFonts w:cstheme="minorHAnsi"/>
                <w:lang w:val="ro-MD"/>
              </w:rPr>
              <w:t xml:space="preserve">Lucrări de renovare / modificare a Centrului de Tineret </w:t>
            </w:r>
            <w:r w:rsidR="00F25372" w:rsidRPr="008B07F9">
              <w:rPr>
                <w:rFonts w:cstheme="minorHAnsi"/>
                <w:lang w:val="ro-MD"/>
              </w:rPr>
              <w:t>Orhei</w:t>
            </w:r>
            <w:r w:rsidRPr="008B07F9">
              <w:rPr>
                <w:rFonts w:cstheme="minorHAnsi"/>
                <w:lang w:val="ro-MD"/>
              </w:rPr>
              <w:t xml:space="preserve"> </w:t>
            </w:r>
            <w:r w:rsidRPr="008B07F9">
              <w:rPr>
                <w:rFonts w:cstheme="minorHAnsi"/>
                <w:lang w:val="ro-MD"/>
              </w:rPr>
              <w:t>conform Devizului atașat (a se vedea A</w:t>
            </w:r>
            <w:r w:rsidRPr="008B07F9">
              <w:rPr>
                <w:rFonts w:cstheme="minorHAnsi"/>
                <w:lang w:val="ro-MD"/>
              </w:rPr>
              <w:t>nexa 4</w:t>
            </w:r>
            <w:r w:rsidRPr="008B07F9">
              <w:rPr>
                <w:rFonts w:cstheme="minorHAnsi"/>
                <w:lang w:val="ro-MD"/>
              </w:rPr>
              <w:t>)</w:t>
            </w:r>
          </w:p>
        </w:tc>
        <w:tc>
          <w:tcPr>
            <w:tcW w:w="3713" w:type="dxa"/>
          </w:tcPr>
          <w:p w14:paraId="01963B73" w14:textId="16C500BE" w:rsidR="00F25372" w:rsidRPr="008B07F9" w:rsidRDefault="00F25372" w:rsidP="003B4B07">
            <w:pPr>
              <w:rPr>
                <w:rFonts w:cstheme="minorHAnsi"/>
                <w:lang w:val="ro-MD"/>
              </w:rPr>
            </w:pPr>
            <w:r w:rsidRPr="008B07F9">
              <w:rPr>
                <w:rFonts w:cstheme="minorHAnsi"/>
                <w:lang w:val="ro-MD"/>
              </w:rPr>
              <w:t>Str. Vasile Mahu 120, or. Orhei</w:t>
            </w:r>
          </w:p>
        </w:tc>
      </w:tr>
      <w:tr w:rsidR="00F25372" w:rsidRPr="008B07F9" w14:paraId="4E8E327B" w14:textId="77777777" w:rsidTr="00087BD1">
        <w:tc>
          <w:tcPr>
            <w:tcW w:w="530" w:type="dxa"/>
          </w:tcPr>
          <w:p w14:paraId="1BC22A62" w14:textId="355121F0" w:rsidR="00F25372" w:rsidRPr="008B07F9" w:rsidRDefault="00F25372" w:rsidP="003B4B07">
            <w:pPr>
              <w:jc w:val="center"/>
              <w:rPr>
                <w:rFonts w:cstheme="minorHAnsi"/>
                <w:lang w:val="ro-MD"/>
              </w:rPr>
            </w:pPr>
            <w:r w:rsidRPr="008B07F9">
              <w:rPr>
                <w:rFonts w:cstheme="minorHAnsi"/>
                <w:lang w:val="ro-MD"/>
              </w:rPr>
              <w:t>5</w:t>
            </w:r>
          </w:p>
        </w:tc>
        <w:tc>
          <w:tcPr>
            <w:tcW w:w="5680" w:type="dxa"/>
          </w:tcPr>
          <w:p w14:paraId="02E0A77B" w14:textId="5F6EEEF5" w:rsidR="00F25372" w:rsidRPr="008B07F9" w:rsidRDefault="0087730A" w:rsidP="0087730A">
            <w:pPr>
              <w:rPr>
                <w:rFonts w:cstheme="minorHAnsi"/>
                <w:lang w:val="ro-MD"/>
              </w:rPr>
            </w:pPr>
            <w:r w:rsidRPr="008B07F9">
              <w:rPr>
                <w:rFonts w:cstheme="minorHAnsi"/>
                <w:lang w:val="ro-MD"/>
              </w:rPr>
              <w:t xml:space="preserve">Lucrări de renovare / modificare a Centrului de Tineret </w:t>
            </w:r>
            <w:r w:rsidR="00F25372" w:rsidRPr="008B07F9">
              <w:rPr>
                <w:rFonts w:cstheme="minorHAnsi"/>
                <w:lang w:val="ro-MD"/>
              </w:rPr>
              <w:t>Soroca</w:t>
            </w:r>
            <w:r w:rsidRPr="008B07F9">
              <w:rPr>
                <w:rFonts w:cstheme="minorHAnsi"/>
                <w:lang w:val="ro-MD"/>
              </w:rPr>
              <w:t xml:space="preserve"> </w:t>
            </w:r>
            <w:r w:rsidRPr="008B07F9">
              <w:rPr>
                <w:rFonts w:cstheme="minorHAnsi"/>
                <w:lang w:val="ro-MD"/>
              </w:rPr>
              <w:t xml:space="preserve">conform Devizului atașat (a se vedea Anexa </w:t>
            </w:r>
            <w:r w:rsidRPr="008B07F9">
              <w:rPr>
                <w:rFonts w:cstheme="minorHAnsi"/>
                <w:lang w:val="ro-MD"/>
              </w:rPr>
              <w:t>5</w:t>
            </w:r>
            <w:r w:rsidRPr="008B07F9">
              <w:rPr>
                <w:rFonts w:cstheme="minorHAnsi"/>
                <w:lang w:val="ro-MD"/>
              </w:rPr>
              <w:t>)</w:t>
            </w:r>
          </w:p>
        </w:tc>
        <w:tc>
          <w:tcPr>
            <w:tcW w:w="3713" w:type="dxa"/>
          </w:tcPr>
          <w:p w14:paraId="7F85BDCC" w14:textId="76FA1C12" w:rsidR="00F25372" w:rsidRPr="008B07F9" w:rsidRDefault="00087BD1" w:rsidP="003B4B07">
            <w:pPr>
              <w:rPr>
                <w:rFonts w:cstheme="minorHAnsi"/>
                <w:lang w:val="ro-MD"/>
              </w:rPr>
            </w:pPr>
            <w:r w:rsidRPr="008B07F9">
              <w:rPr>
                <w:rFonts w:cstheme="minorHAnsi"/>
                <w:lang w:val="ro-MD"/>
              </w:rPr>
              <w:t xml:space="preserve">Str. Mihail Sadoveanu </w:t>
            </w:r>
            <w:r w:rsidR="00F25372" w:rsidRPr="008B07F9">
              <w:rPr>
                <w:rFonts w:cstheme="minorHAnsi"/>
                <w:lang w:val="ro-MD"/>
              </w:rPr>
              <w:t>21</w:t>
            </w:r>
            <w:r w:rsidRPr="008B07F9">
              <w:rPr>
                <w:rFonts w:cstheme="minorHAnsi"/>
                <w:lang w:val="ro-MD"/>
              </w:rPr>
              <w:t>,</w:t>
            </w:r>
            <w:r w:rsidR="00F25372" w:rsidRPr="008B07F9">
              <w:rPr>
                <w:rFonts w:cstheme="minorHAnsi"/>
                <w:lang w:val="ro-MD"/>
              </w:rPr>
              <w:t xml:space="preserve"> m. Soroca</w:t>
            </w:r>
          </w:p>
        </w:tc>
      </w:tr>
    </w:tbl>
    <w:p w14:paraId="6976929D" w14:textId="77777777" w:rsidR="00F25372" w:rsidRPr="008B07F9" w:rsidRDefault="00F25372" w:rsidP="00A869A4">
      <w:pPr>
        <w:spacing w:after="0" w:line="276" w:lineRule="auto"/>
        <w:contextualSpacing/>
        <w:jc w:val="both"/>
        <w:rPr>
          <w:rFonts w:eastAsia="Calibri" w:cstheme="minorHAnsi"/>
          <w:lang w:val="ro-MD" w:eastAsia="et-EE"/>
        </w:rPr>
      </w:pPr>
    </w:p>
    <w:p w14:paraId="427A6001" w14:textId="76365626" w:rsidR="006E75B4" w:rsidRPr="008B07F9" w:rsidRDefault="00A869A4" w:rsidP="006E75B4">
      <w:pPr>
        <w:spacing w:after="0" w:line="276" w:lineRule="auto"/>
        <w:contextualSpacing/>
        <w:jc w:val="both"/>
        <w:rPr>
          <w:rFonts w:eastAsia="Calibri" w:cstheme="minorHAnsi"/>
          <w:lang w:val="ro-MD" w:eastAsia="et-EE"/>
        </w:rPr>
      </w:pPr>
      <w:r w:rsidRPr="008B07F9">
        <w:rPr>
          <w:rFonts w:eastAsia="Calibri" w:cstheme="minorHAnsi"/>
          <w:lang w:val="ro-MD" w:eastAsia="et-EE"/>
        </w:rPr>
        <w:t xml:space="preserve">2.3 </w:t>
      </w:r>
      <w:r w:rsidR="006E75B4" w:rsidRPr="008B07F9">
        <w:rPr>
          <w:rFonts w:eastAsia="Calibri" w:cstheme="minorHAnsi"/>
          <w:lang w:val="ro-MD" w:eastAsia="et-EE"/>
        </w:rPr>
        <w:t xml:space="preserve">În </w:t>
      </w:r>
      <w:r w:rsidR="006E75B4" w:rsidRPr="008B07F9">
        <w:rPr>
          <w:rFonts w:eastAsia="Calibri" w:cstheme="minorHAnsi"/>
          <w:lang w:val="ro-MD" w:eastAsia="et-EE"/>
        </w:rPr>
        <w:t>particular</w:t>
      </w:r>
      <w:r w:rsidR="006E75B4" w:rsidRPr="008B07F9">
        <w:rPr>
          <w:rFonts w:eastAsia="Calibri" w:cstheme="minorHAnsi"/>
          <w:lang w:val="ro-MD" w:eastAsia="et-EE"/>
        </w:rPr>
        <w:t xml:space="preserve">, vor fi efectuate următoarele lucrări de reconstrucție și </w:t>
      </w:r>
      <w:r w:rsidR="005E4A9C" w:rsidRPr="008B07F9">
        <w:rPr>
          <w:rFonts w:eastAsia="Calibri" w:cstheme="minorHAnsi"/>
          <w:lang w:val="ro-MD" w:eastAsia="et-EE"/>
        </w:rPr>
        <w:t>montaj</w:t>
      </w:r>
      <w:r w:rsidR="006E75B4" w:rsidRPr="008B07F9">
        <w:rPr>
          <w:rFonts w:eastAsia="Calibri" w:cstheme="minorHAnsi"/>
          <w:lang w:val="ro-MD" w:eastAsia="et-EE"/>
        </w:rPr>
        <w:t xml:space="preserve"> pentru centrele de tineret respective:</w:t>
      </w:r>
    </w:p>
    <w:p w14:paraId="6BC1DFE6" w14:textId="26AC8EB7" w:rsidR="006E75B4" w:rsidRPr="008B07F9" w:rsidRDefault="006E75B4" w:rsidP="006E75B4">
      <w:pPr>
        <w:spacing w:after="0" w:line="276" w:lineRule="auto"/>
        <w:contextualSpacing/>
        <w:jc w:val="both"/>
        <w:rPr>
          <w:rFonts w:eastAsia="Calibri" w:cstheme="minorHAnsi"/>
          <w:lang w:val="ro-MD" w:eastAsia="et-EE"/>
        </w:rPr>
      </w:pPr>
      <w:r w:rsidRPr="008B07F9">
        <w:rPr>
          <w:rFonts w:eastAsia="Calibri" w:cstheme="minorHAnsi"/>
          <w:lang w:val="ro-MD" w:eastAsia="et-EE"/>
        </w:rPr>
        <w:t>• Lucrări de pregătire a ș</w:t>
      </w:r>
      <w:r w:rsidR="005E4A9C" w:rsidRPr="008B07F9">
        <w:rPr>
          <w:rFonts w:eastAsia="Calibri" w:cstheme="minorHAnsi"/>
          <w:lang w:val="ro-MD" w:eastAsia="et-EE"/>
        </w:rPr>
        <w:t>antierului, inclusiv împrejmuirea</w:t>
      </w:r>
      <w:r w:rsidRPr="008B07F9">
        <w:rPr>
          <w:rFonts w:eastAsia="Calibri" w:cstheme="minorHAnsi"/>
          <w:lang w:val="ro-MD" w:eastAsia="et-EE"/>
        </w:rPr>
        <w:t xml:space="preserve"> șantier</w:t>
      </w:r>
      <w:r w:rsidR="005E4A9C" w:rsidRPr="008B07F9">
        <w:rPr>
          <w:rFonts w:eastAsia="Calibri" w:cstheme="minorHAnsi"/>
          <w:lang w:val="ro-MD" w:eastAsia="et-EE"/>
        </w:rPr>
        <w:t>ului</w:t>
      </w:r>
      <w:r w:rsidRPr="008B07F9">
        <w:rPr>
          <w:rFonts w:eastAsia="Calibri" w:cstheme="minorHAnsi"/>
          <w:lang w:val="ro-MD" w:eastAsia="et-EE"/>
        </w:rPr>
        <w:t>, toalete de șantier etc .;</w:t>
      </w:r>
    </w:p>
    <w:p w14:paraId="07B77D15" w14:textId="77777777" w:rsidR="006E75B4" w:rsidRPr="008B07F9" w:rsidRDefault="006E75B4" w:rsidP="006E75B4">
      <w:pPr>
        <w:spacing w:after="0" w:line="276" w:lineRule="auto"/>
        <w:contextualSpacing/>
        <w:jc w:val="both"/>
        <w:rPr>
          <w:rFonts w:eastAsia="Calibri" w:cstheme="minorHAnsi"/>
          <w:lang w:val="ro-MD" w:eastAsia="et-EE"/>
        </w:rPr>
      </w:pPr>
      <w:r w:rsidRPr="008B07F9">
        <w:rPr>
          <w:rFonts w:eastAsia="Calibri" w:cstheme="minorHAnsi"/>
          <w:lang w:val="ro-MD" w:eastAsia="et-EE"/>
        </w:rPr>
        <w:t>• Reconstrucția / construirea unei noi rampe de acces;</w:t>
      </w:r>
    </w:p>
    <w:p w14:paraId="2546524B" w14:textId="77777777" w:rsidR="006E75B4" w:rsidRPr="008B07F9" w:rsidRDefault="006E75B4" w:rsidP="006E75B4">
      <w:pPr>
        <w:spacing w:after="0" w:line="276" w:lineRule="auto"/>
        <w:contextualSpacing/>
        <w:jc w:val="both"/>
        <w:rPr>
          <w:rFonts w:eastAsia="Calibri" w:cstheme="minorHAnsi"/>
          <w:lang w:val="ro-MD" w:eastAsia="et-EE"/>
        </w:rPr>
      </w:pPr>
      <w:r w:rsidRPr="008B07F9">
        <w:rPr>
          <w:rFonts w:eastAsia="Calibri" w:cstheme="minorHAnsi"/>
          <w:lang w:val="ro-MD" w:eastAsia="et-EE"/>
        </w:rPr>
        <w:t>• Instalarea articolelor de tâmplărie;</w:t>
      </w:r>
    </w:p>
    <w:p w14:paraId="15CFBB8D" w14:textId="77777777" w:rsidR="006E75B4" w:rsidRPr="008B07F9" w:rsidRDefault="006E75B4" w:rsidP="006E75B4">
      <w:pPr>
        <w:spacing w:after="0" w:line="276" w:lineRule="auto"/>
        <w:contextualSpacing/>
        <w:jc w:val="both"/>
        <w:rPr>
          <w:rFonts w:eastAsia="Calibri" w:cstheme="minorHAnsi"/>
          <w:lang w:val="ro-MD" w:eastAsia="et-EE"/>
        </w:rPr>
      </w:pPr>
      <w:r w:rsidRPr="008B07F9">
        <w:rPr>
          <w:rFonts w:eastAsia="Calibri" w:cstheme="minorHAnsi"/>
          <w:lang w:val="ro-MD" w:eastAsia="et-EE"/>
        </w:rPr>
        <w:t>• Lucrări de finisare interioară;</w:t>
      </w:r>
    </w:p>
    <w:p w14:paraId="5D5ABB74" w14:textId="77777777" w:rsidR="006E75B4" w:rsidRPr="008B07F9" w:rsidRDefault="006E75B4" w:rsidP="006E75B4">
      <w:pPr>
        <w:spacing w:after="0" w:line="276" w:lineRule="auto"/>
        <w:contextualSpacing/>
        <w:jc w:val="both"/>
        <w:rPr>
          <w:rFonts w:eastAsia="Calibri" w:cstheme="minorHAnsi"/>
          <w:lang w:val="ro-MD" w:eastAsia="et-EE"/>
        </w:rPr>
      </w:pPr>
      <w:r w:rsidRPr="008B07F9">
        <w:rPr>
          <w:rFonts w:eastAsia="Calibri" w:cstheme="minorHAnsi"/>
          <w:lang w:val="ro-MD" w:eastAsia="et-EE"/>
        </w:rPr>
        <w:t>• Instalarea și punerea în funcțiune a rețelelor interne de inginerie: electricitate, semnalizare, alimentare cu apă și canalizare;</w:t>
      </w:r>
    </w:p>
    <w:p w14:paraId="0A6C12F0" w14:textId="5C835FAB" w:rsidR="007B1BC2" w:rsidRPr="008B07F9" w:rsidRDefault="006E75B4" w:rsidP="006E75B4">
      <w:pPr>
        <w:spacing w:after="0" w:line="276" w:lineRule="auto"/>
        <w:contextualSpacing/>
        <w:jc w:val="both"/>
        <w:rPr>
          <w:rFonts w:eastAsia="Calibri" w:cstheme="minorHAnsi"/>
          <w:lang w:val="ro-MD" w:eastAsia="et-EE"/>
        </w:rPr>
      </w:pPr>
      <w:r w:rsidRPr="008B07F9">
        <w:rPr>
          <w:rFonts w:eastAsia="Calibri" w:cstheme="minorHAnsi"/>
          <w:lang w:val="ro-MD" w:eastAsia="et-EE"/>
        </w:rPr>
        <w:t>• Organizarea și îmbunătățirea căilor de acces în clădire.</w:t>
      </w:r>
    </w:p>
    <w:p w14:paraId="36F9FED6" w14:textId="77777777" w:rsidR="006E75B4" w:rsidRPr="008B07F9" w:rsidRDefault="006E75B4" w:rsidP="006E75B4">
      <w:pPr>
        <w:spacing w:after="0" w:line="276" w:lineRule="auto"/>
        <w:contextualSpacing/>
        <w:jc w:val="both"/>
        <w:rPr>
          <w:rFonts w:eastAsia="Calibri" w:cstheme="minorHAnsi"/>
          <w:b/>
          <w:lang w:val="ro-MD" w:eastAsia="et-EE"/>
        </w:rPr>
      </w:pPr>
    </w:p>
    <w:p w14:paraId="263F5A00" w14:textId="61558254" w:rsidR="00A869A4" w:rsidRPr="008B07F9" w:rsidRDefault="00A869A4" w:rsidP="00A869A4">
      <w:pPr>
        <w:spacing w:after="0" w:line="276" w:lineRule="auto"/>
        <w:jc w:val="both"/>
        <w:rPr>
          <w:rFonts w:eastAsia="Calibri" w:cstheme="minorHAnsi"/>
          <w:lang w:val="ro-MD"/>
        </w:rPr>
      </w:pPr>
      <w:r w:rsidRPr="008B07F9">
        <w:rPr>
          <w:rFonts w:eastAsia="Calibri" w:cstheme="minorHAnsi"/>
          <w:lang w:val="ro-MD"/>
        </w:rPr>
        <w:t xml:space="preserve">2.4 </w:t>
      </w:r>
      <w:r w:rsidR="00713B17" w:rsidRPr="008B07F9">
        <w:rPr>
          <w:rFonts w:eastAsia="Calibri" w:cstheme="minorHAnsi"/>
          <w:lang w:val="ro-MD"/>
        </w:rPr>
        <w:t>Antreprenorul ar trebui să asigure tot ceea ce este necesar pentru îndeplinirea cu succes a contractului: lucrări, inginerie, materiale, echipamente, materiale auxiliare, transport, mașini, unelte etc. și călătoriile necesare pentru executarea tuturor lucrărilor prevăzute în acest contract.</w:t>
      </w:r>
    </w:p>
    <w:p w14:paraId="62DBD951" w14:textId="77777777" w:rsidR="00895E24" w:rsidRPr="008B07F9" w:rsidRDefault="00895E24" w:rsidP="00895E24">
      <w:pPr>
        <w:spacing w:after="0" w:line="276" w:lineRule="auto"/>
        <w:contextualSpacing/>
        <w:jc w:val="both"/>
        <w:rPr>
          <w:rFonts w:eastAsia="Calibri" w:cstheme="minorHAnsi"/>
          <w:i/>
          <w:lang w:val="ro-MD"/>
        </w:rPr>
      </w:pPr>
      <w:r w:rsidRPr="008B07F9">
        <w:rPr>
          <w:rFonts w:eastAsia="Calibri" w:cstheme="minorHAnsi"/>
          <w:i/>
          <w:lang w:val="ro-MD"/>
        </w:rPr>
        <w:t>De obicei, contractul propus prevede următoarele activități:</w:t>
      </w:r>
    </w:p>
    <w:p w14:paraId="272CF1F6" w14:textId="77777777" w:rsidR="00895E24" w:rsidRPr="008B07F9" w:rsidRDefault="00895E24" w:rsidP="00895E24">
      <w:pPr>
        <w:spacing w:after="0" w:line="276" w:lineRule="auto"/>
        <w:ind w:left="360"/>
        <w:contextualSpacing/>
        <w:jc w:val="both"/>
        <w:rPr>
          <w:rFonts w:eastAsia="Calibri" w:cstheme="minorHAnsi"/>
          <w:lang w:val="ro-MD"/>
        </w:rPr>
      </w:pPr>
      <w:r w:rsidRPr="008B07F9">
        <w:rPr>
          <w:rFonts w:eastAsia="Calibri" w:cstheme="minorHAnsi"/>
          <w:lang w:val="ro-MD"/>
        </w:rPr>
        <w:t>• cumpărarea și furnizarea de materiale și echipamente;</w:t>
      </w:r>
    </w:p>
    <w:p w14:paraId="024B35AD" w14:textId="77777777" w:rsidR="00895E24" w:rsidRPr="008B07F9" w:rsidRDefault="00895E24" w:rsidP="00895E24">
      <w:pPr>
        <w:spacing w:after="0" w:line="276" w:lineRule="auto"/>
        <w:ind w:left="360"/>
        <w:contextualSpacing/>
        <w:jc w:val="both"/>
        <w:rPr>
          <w:rFonts w:eastAsia="Calibri" w:cstheme="minorHAnsi"/>
          <w:lang w:val="ro-MD"/>
        </w:rPr>
      </w:pPr>
      <w:r w:rsidRPr="008B07F9">
        <w:rPr>
          <w:rFonts w:eastAsia="Calibri" w:cstheme="minorHAnsi"/>
          <w:lang w:val="ro-MD"/>
        </w:rPr>
        <w:t>• pregătirea șantierului atât pentru depozitarea materialelor și echipamentelor, cât și pentru efectuarea în siguranță a lucrărilor;</w:t>
      </w:r>
    </w:p>
    <w:p w14:paraId="1A56D005" w14:textId="77777777" w:rsidR="00895E24" w:rsidRPr="008B07F9" w:rsidRDefault="00895E24" w:rsidP="00895E24">
      <w:pPr>
        <w:spacing w:after="0" w:line="276" w:lineRule="auto"/>
        <w:ind w:left="360"/>
        <w:contextualSpacing/>
        <w:jc w:val="both"/>
        <w:rPr>
          <w:rFonts w:eastAsia="Calibri" w:cstheme="minorHAnsi"/>
          <w:lang w:val="ro-MD"/>
        </w:rPr>
      </w:pPr>
      <w:r w:rsidRPr="008B07F9">
        <w:rPr>
          <w:rFonts w:eastAsia="Calibri" w:cstheme="minorHAnsi"/>
          <w:lang w:val="ro-MD"/>
        </w:rPr>
        <w:t>• executarea lucrărilor de construcție și montaj - menționate în Termenii de Referință;</w:t>
      </w:r>
    </w:p>
    <w:p w14:paraId="6208FE5D" w14:textId="7D25CA85" w:rsidR="00A869A4" w:rsidRPr="008B07F9" w:rsidRDefault="00895E24" w:rsidP="00895E24">
      <w:pPr>
        <w:spacing w:after="0" w:line="276" w:lineRule="auto"/>
        <w:ind w:left="360"/>
        <w:contextualSpacing/>
        <w:jc w:val="both"/>
        <w:rPr>
          <w:rFonts w:eastAsia="Calibri" w:cstheme="minorHAnsi"/>
          <w:lang w:val="ro-MD"/>
        </w:rPr>
      </w:pPr>
      <w:r w:rsidRPr="008B07F9">
        <w:rPr>
          <w:rFonts w:eastAsia="Calibri" w:cstheme="minorHAnsi"/>
          <w:lang w:val="ro-MD"/>
        </w:rPr>
        <w:t>• punerea în funcțiune a obiectului și a sistemelor de inginerie finali</w:t>
      </w:r>
      <w:r w:rsidRPr="008B07F9">
        <w:rPr>
          <w:rFonts w:eastAsia="Calibri" w:cstheme="minorHAnsi"/>
          <w:lang w:val="ro-MD"/>
        </w:rPr>
        <w:t>zate conform legislației locale.</w:t>
      </w:r>
    </w:p>
    <w:p w14:paraId="0E133325" w14:textId="77777777" w:rsidR="00A869A4" w:rsidRPr="008B07F9" w:rsidRDefault="00A869A4" w:rsidP="00A869A4">
      <w:pPr>
        <w:spacing w:after="0" w:line="276" w:lineRule="auto"/>
        <w:jc w:val="both"/>
        <w:rPr>
          <w:rFonts w:eastAsia="Calibri" w:cstheme="minorHAnsi"/>
          <w:lang w:val="ro-MD"/>
        </w:rPr>
      </w:pPr>
    </w:p>
    <w:p w14:paraId="119DC180" w14:textId="42785FCF" w:rsidR="00A869A4" w:rsidRPr="008B07F9" w:rsidRDefault="00A869A4" w:rsidP="00A869A4">
      <w:pPr>
        <w:spacing w:after="0" w:line="276" w:lineRule="auto"/>
        <w:jc w:val="both"/>
        <w:rPr>
          <w:rFonts w:eastAsia="Calibri" w:cstheme="minorHAnsi"/>
          <w:lang w:val="ro-MD" w:eastAsia="et-EE"/>
        </w:rPr>
      </w:pPr>
      <w:r w:rsidRPr="008B07F9">
        <w:rPr>
          <w:rFonts w:eastAsia="Calibri" w:cstheme="minorHAnsi"/>
          <w:lang w:val="ro-MD"/>
        </w:rPr>
        <w:t xml:space="preserve">2.5 </w:t>
      </w:r>
      <w:r w:rsidR="00895E24" w:rsidRPr="008B07F9">
        <w:rPr>
          <w:rFonts w:eastAsia="Calibri" w:cstheme="minorHAnsi"/>
          <w:lang w:val="ro-MD" w:eastAsia="et-EE"/>
        </w:rPr>
        <w:t>De asemenea, contractantul trebuie să se asigure că toate materialele, bunurile și echipamentele, înainte de a fi achiziționate și utilizate în interesul contractului, sunt coordonate cu reprezentanții beneficiarului și ai proiectului UNFPA, împuterniciți în mod corespunzător: pentru supravegherea zilnică și pentru monitorizarea periodică a lucrărilor la obiect.</w:t>
      </w:r>
    </w:p>
    <w:p w14:paraId="6C1501AC" w14:textId="77777777" w:rsidR="00A869A4" w:rsidRPr="008B07F9" w:rsidRDefault="00A869A4" w:rsidP="00A869A4">
      <w:pPr>
        <w:spacing w:after="0" w:line="276" w:lineRule="auto"/>
        <w:jc w:val="both"/>
        <w:rPr>
          <w:rFonts w:eastAsia="Calibri" w:cstheme="minorHAnsi"/>
          <w:b/>
          <w:i/>
          <w:snapToGrid w:val="0"/>
          <w:lang w:val="ro-MD"/>
        </w:rPr>
      </w:pPr>
    </w:p>
    <w:p w14:paraId="7CEE09D5" w14:textId="21120111" w:rsidR="00A869A4" w:rsidRPr="008B07F9" w:rsidRDefault="005704D8" w:rsidP="00A869A4">
      <w:pPr>
        <w:spacing w:after="0" w:line="276" w:lineRule="auto"/>
        <w:jc w:val="both"/>
        <w:rPr>
          <w:rFonts w:eastAsia="Calibri" w:cstheme="minorHAnsi"/>
          <w:b/>
          <w:i/>
          <w:snapToGrid w:val="0"/>
          <w:lang w:val="ro-MD"/>
        </w:rPr>
      </w:pPr>
      <w:r w:rsidRPr="008B07F9">
        <w:rPr>
          <w:rFonts w:eastAsia="Calibri" w:cstheme="minorHAnsi"/>
          <w:b/>
          <w:i/>
          <w:snapToGrid w:val="0"/>
          <w:lang w:val="ro-MD"/>
        </w:rPr>
        <w:t>Notă pentru ofertanți</w:t>
      </w:r>
      <w:r w:rsidR="00A869A4" w:rsidRPr="008B07F9">
        <w:rPr>
          <w:rFonts w:eastAsia="Calibri" w:cstheme="minorHAnsi"/>
          <w:b/>
          <w:i/>
          <w:snapToGrid w:val="0"/>
          <w:lang w:val="ro-MD"/>
        </w:rPr>
        <w:t xml:space="preserve">: </w:t>
      </w:r>
    </w:p>
    <w:tbl>
      <w:tblPr>
        <w:tblStyle w:val="TableGrid"/>
        <w:tblW w:w="0" w:type="auto"/>
        <w:tblInd w:w="108" w:type="dxa"/>
        <w:tblLook w:val="04A0" w:firstRow="1" w:lastRow="0" w:firstColumn="1" w:lastColumn="0" w:noHBand="0" w:noVBand="1"/>
      </w:tblPr>
      <w:tblGrid>
        <w:gridCol w:w="10065"/>
      </w:tblGrid>
      <w:tr w:rsidR="002569FA" w:rsidRPr="008B07F9" w14:paraId="0AF037F5" w14:textId="77777777" w:rsidTr="007B1BC2">
        <w:trPr>
          <w:trHeight w:val="1204"/>
        </w:trPr>
        <w:tc>
          <w:tcPr>
            <w:tcW w:w="10065" w:type="dxa"/>
            <w:shd w:val="clear" w:color="auto" w:fill="E2EFD9" w:themeFill="accent6" w:themeFillTint="33"/>
            <w:vAlign w:val="center"/>
          </w:tcPr>
          <w:p w14:paraId="3092CDDC" w14:textId="3E0E686D" w:rsidR="00A869A4" w:rsidRPr="008B07F9" w:rsidRDefault="005704D8" w:rsidP="005704D8">
            <w:pPr>
              <w:spacing w:line="276" w:lineRule="auto"/>
              <w:jc w:val="both"/>
              <w:rPr>
                <w:rFonts w:eastAsia="Calibri" w:cstheme="minorHAnsi"/>
                <w:lang w:val="ro-MD" w:eastAsia="et-EE"/>
              </w:rPr>
            </w:pPr>
            <w:r w:rsidRPr="008B07F9">
              <w:rPr>
                <w:rFonts w:eastAsia="Calibri" w:cstheme="minorHAnsi"/>
                <w:b/>
                <w:i/>
                <w:snapToGrid w:val="0"/>
                <w:lang w:val="ro-MD"/>
              </w:rPr>
              <w:t>Oricând specificațiile tehnice necesită un anumit produs, marcă specifică, nume / model, ofertanții pot propune pentru coordonare orice alte produse egale în toate aspectele cu produsele specificate și care îndeplinesc cerințele de origine, toți parametrii fizici, funcționali și de performanță .</w:t>
            </w:r>
          </w:p>
        </w:tc>
      </w:tr>
    </w:tbl>
    <w:p w14:paraId="3C9F6CF9" w14:textId="77777777" w:rsidR="00A869A4" w:rsidRPr="008B07F9" w:rsidRDefault="00A869A4" w:rsidP="00A869A4">
      <w:pPr>
        <w:spacing w:after="0" w:line="276" w:lineRule="auto"/>
        <w:contextualSpacing/>
        <w:jc w:val="both"/>
        <w:rPr>
          <w:rFonts w:eastAsia="Calibri" w:cstheme="minorHAnsi"/>
          <w:b/>
          <w:lang w:val="ro-MD"/>
        </w:rPr>
      </w:pPr>
    </w:p>
    <w:p w14:paraId="4B24646C" w14:textId="4D3614E2" w:rsidR="00A869A4" w:rsidRPr="008B07F9" w:rsidRDefault="00A869A4" w:rsidP="00A869A4">
      <w:pPr>
        <w:spacing w:after="0" w:line="276" w:lineRule="auto"/>
        <w:contextualSpacing/>
        <w:jc w:val="both"/>
        <w:rPr>
          <w:rFonts w:eastAsia="Calibri" w:cstheme="minorHAnsi"/>
          <w:b/>
          <w:lang w:val="ro-MD"/>
        </w:rPr>
      </w:pPr>
      <w:r w:rsidRPr="008B07F9">
        <w:rPr>
          <w:rFonts w:eastAsia="Calibri" w:cstheme="minorHAnsi"/>
          <w:b/>
          <w:lang w:val="ro-MD"/>
        </w:rPr>
        <w:t xml:space="preserve">3. </w:t>
      </w:r>
      <w:r w:rsidR="005704D8" w:rsidRPr="008B07F9">
        <w:rPr>
          <w:rFonts w:eastAsia="Calibri" w:cstheme="minorHAnsi"/>
          <w:b/>
          <w:lang w:val="ro-MD"/>
        </w:rPr>
        <w:t>Șantierul de construcții</w:t>
      </w:r>
    </w:p>
    <w:p w14:paraId="3EC2A348" w14:textId="483316BB" w:rsidR="00A869A4" w:rsidRPr="008B07F9" w:rsidRDefault="005704D8" w:rsidP="00A869A4">
      <w:pPr>
        <w:spacing w:after="0" w:line="276" w:lineRule="auto"/>
        <w:jc w:val="both"/>
        <w:rPr>
          <w:rFonts w:eastAsia="Calibri" w:cstheme="minorHAnsi"/>
          <w:lang w:val="ro-MD"/>
        </w:rPr>
      </w:pPr>
      <w:r w:rsidRPr="008B07F9">
        <w:rPr>
          <w:rFonts w:eastAsia="Calibri" w:cstheme="minorHAnsi"/>
          <w:lang w:val="ro-MD"/>
        </w:rPr>
        <w:t xml:space="preserve">Lucrările notificate în această licitație vor fi executate conform celor 5 Loturi </w:t>
      </w:r>
      <w:r w:rsidRPr="008B07F9">
        <w:rPr>
          <w:rFonts w:eastAsia="Calibri" w:cstheme="minorHAnsi"/>
          <w:lang w:val="ro-MD"/>
        </w:rPr>
        <w:t xml:space="preserve">menționate mai sus </w:t>
      </w:r>
      <w:r w:rsidRPr="008B07F9">
        <w:rPr>
          <w:rFonts w:eastAsia="Calibri" w:cstheme="minorHAnsi"/>
          <w:lang w:val="ro-MD"/>
        </w:rPr>
        <w:t>pentru 5 obiecte (Centre de Tineret)</w:t>
      </w:r>
      <w:r w:rsidR="00A869A4" w:rsidRPr="008B07F9">
        <w:rPr>
          <w:rFonts w:eastAsia="Calibri" w:cstheme="minorHAnsi"/>
          <w:lang w:val="ro-MD"/>
        </w:rPr>
        <w:t>.</w:t>
      </w:r>
    </w:p>
    <w:p w14:paraId="24C4A75A" w14:textId="77777777" w:rsidR="005704D8" w:rsidRPr="008B07F9" w:rsidRDefault="005704D8" w:rsidP="00A869A4">
      <w:pPr>
        <w:spacing w:after="0" w:line="276" w:lineRule="auto"/>
        <w:jc w:val="both"/>
        <w:rPr>
          <w:rFonts w:eastAsia="Calibri" w:cstheme="minorHAnsi"/>
          <w:lang w:val="ro-MD"/>
        </w:rPr>
      </w:pPr>
    </w:p>
    <w:p w14:paraId="07FF5E86" w14:textId="70B0D097" w:rsidR="00A869A4" w:rsidRPr="008B07F9" w:rsidRDefault="00A869A4" w:rsidP="00A869A4">
      <w:pPr>
        <w:keepNext/>
        <w:widowControl w:val="0"/>
        <w:autoSpaceDE w:val="0"/>
        <w:autoSpaceDN w:val="0"/>
        <w:spacing w:after="0" w:line="276" w:lineRule="auto"/>
        <w:outlineLvl w:val="0"/>
        <w:rPr>
          <w:rFonts w:eastAsia="Times New Roman" w:cstheme="minorHAnsi"/>
          <w:b/>
          <w:bCs/>
          <w:kern w:val="32"/>
          <w:lang w:val="ro-MD"/>
        </w:rPr>
      </w:pPr>
      <w:r w:rsidRPr="008B07F9">
        <w:rPr>
          <w:rFonts w:eastAsia="Times New Roman" w:cstheme="minorHAnsi"/>
          <w:b/>
          <w:bCs/>
          <w:kern w:val="32"/>
          <w:lang w:val="ro-MD"/>
        </w:rPr>
        <w:t xml:space="preserve">4.  </w:t>
      </w:r>
      <w:r w:rsidR="005704D8" w:rsidRPr="008B07F9">
        <w:rPr>
          <w:rFonts w:eastAsia="Times New Roman" w:cstheme="minorHAnsi"/>
          <w:b/>
          <w:bCs/>
          <w:kern w:val="32"/>
          <w:lang w:val="ro-MD"/>
        </w:rPr>
        <w:t>Aranjamente organizatorice</w:t>
      </w:r>
      <w:r w:rsidRPr="008B07F9">
        <w:rPr>
          <w:rFonts w:eastAsia="Times New Roman" w:cstheme="minorHAnsi"/>
          <w:b/>
          <w:bCs/>
          <w:kern w:val="32"/>
          <w:lang w:val="ro-MD"/>
        </w:rPr>
        <w:t xml:space="preserve">   </w:t>
      </w:r>
    </w:p>
    <w:p w14:paraId="49C2C112" w14:textId="450A6728" w:rsidR="007B1BC2" w:rsidRPr="008B07F9" w:rsidRDefault="005704D8" w:rsidP="00A869A4">
      <w:pPr>
        <w:overflowPunct w:val="0"/>
        <w:autoSpaceDE w:val="0"/>
        <w:autoSpaceDN w:val="0"/>
        <w:adjustRightInd w:val="0"/>
        <w:spacing w:after="0" w:line="276" w:lineRule="auto"/>
        <w:jc w:val="both"/>
        <w:textAlignment w:val="baseline"/>
        <w:rPr>
          <w:rFonts w:eastAsia="Times New Roman" w:cstheme="minorHAnsi"/>
          <w:lang w:val="ro-MD"/>
        </w:rPr>
      </w:pPr>
      <w:r w:rsidRPr="008B07F9">
        <w:rPr>
          <w:rFonts w:eastAsia="Times New Roman" w:cstheme="minorHAnsi"/>
          <w:lang w:val="ro-MD"/>
        </w:rPr>
        <w:t>Implementarea proiectului și execuția lucrărilor la fața locului vor fi monitorizate de proiectantul și inginerul desemnat de UNFPA Moldova, care va efectua vizite de monitorizare sistematică la fața locului. În plus, inginerul responsabil tehnic autorizat de beneficiarul proiectului va asigura supravegherea zilnică a activităților de construcție prevăzute în contract.</w:t>
      </w:r>
    </w:p>
    <w:p w14:paraId="3B244F49" w14:textId="77777777" w:rsidR="005704D8" w:rsidRPr="008B07F9" w:rsidRDefault="005704D8" w:rsidP="00A869A4">
      <w:pPr>
        <w:overflowPunct w:val="0"/>
        <w:autoSpaceDE w:val="0"/>
        <w:autoSpaceDN w:val="0"/>
        <w:adjustRightInd w:val="0"/>
        <w:spacing w:after="0" w:line="276" w:lineRule="auto"/>
        <w:jc w:val="both"/>
        <w:textAlignment w:val="baseline"/>
        <w:rPr>
          <w:rFonts w:eastAsia="Times New Roman" w:cstheme="minorHAnsi"/>
          <w:lang w:val="ro-MD"/>
        </w:rPr>
      </w:pPr>
    </w:p>
    <w:p w14:paraId="4998C946" w14:textId="295EDD22" w:rsidR="00A869A4" w:rsidRPr="008B07F9" w:rsidRDefault="00993566" w:rsidP="00DA4E71">
      <w:pPr>
        <w:keepNext/>
        <w:widowControl w:val="0"/>
        <w:numPr>
          <w:ilvl w:val="0"/>
          <w:numId w:val="1"/>
        </w:numPr>
        <w:autoSpaceDE w:val="0"/>
        <w:autoSpaceDN w:val="0"/>
        <w:spacing w:after="0" w:line="276" w:lineRule="auto"/>
        <w:outlineLvl w:val="0"/>
        <w:rPr>
          <w:rFonts w:eastAsia="Times New Roman" w:cstheme="minorHAnsi"/>
          <w:b/>
          <w:bCs/>
          <w:kern w:val="32"/>
          <w:lang w:val="ro-MD"/>
        </w:rPr>
      </w:pPr>
      <w:r w:rsidRPr="008B07F9">
        <w:rPr>
          <w:rFonts w:eastAsia="Times New Roman" w:cstheme="minorHAnsi"/>
          <w:b/>
          <w:bCs/>
          <w:kern w:val="32"/>
          <w:lang w:val="ro-MD"/>
        </w:rPr>
        <w:t>Rezultate scontate</w:t>
      </w:r>
    </w:p>
    <w:p w14:paraId="06EC39C7" w14:textId="77777777" w:rsidR="0078314E" w:rsidRPr="008B07F9" w:rsidRDefault="0078314E" w:rsidP="0078314E">
      <w:pPr>
        <w:spacing w:after="0" w:line="276" w:lineRule="auto"/>
        <w:jc w:val="both"/>
        <w:rPr>
          <w:rFonts w:eastAsia="Calibri" w:cstheme="minorHAnsi"/>
          <w:lang w:val="ro-MD"/>
        </w:rPr>
      </w:pPr>
      <w:r w:rsidRPr="008B07F9">
        <w:rPr>
          <w:rFonts w:eastAsia="Calibri" w:cstheme="minorHAnsi"/>
          <w:lang w:val="ro-MD"/>
        </w:rPr>
        <w:t>Contractantul este de așteptat să livreze următoarele rezultate:</w:t>
      </w:r>
    </w:p>
    <w:p w14:paraId="2F713839" w14:textId="77777777" w:rsidR="0078314E" w:rsidRPr="008B07F9" w:rsidRDefault="0078314E" w:rsidP="0078314E">
      <w:pPr>
        <w:spacing w:after="0" w:line="276" w:lineRule="auto"/>
        <w:jc w:val="both"/>
        <w:rPr>
          <w:rFonts w:eastAsia="Calibri" w:cstheme="minorHAnsi"/>
          <w:lang w:val="ro-MD"/>
        </w:rPr>
      </w:pPr>
      <w:r w:rsidRPr="008B07F9">
        <w:rPr>
          <w:rFonts w:eastAsia="Calibri" w:cstheme="minorHAnsi"/>
          <w:lang w:val="ro-MD"/>
        </w:rPr>
        <w:t>Rezultatul 1: Finalizarea tuturor lucrărilor de reconstrucție prevăzute în documentele contractului, într-o perioadă de cel mult 120 de zile calendaristice de la data semnării Contractului pentru Centrul de Tineret Bălți și Centrul de Tineret Orhei și nu mai mult de 90 de zile calendaristice de la data semnării Contractului pentru Centrul de Tineret Criuleni, Centrul de Tineret Nisporeni și Centrul de Tineret Soroca.</w:t>
      </w:r>
    </w:p>
    <w:p w14:paraId="624CB093" w14:textId="7B42DB3C" w:rsidR="00A869A4" w:rsidRPr="008B07F9" w:rsidRDefault="0078314E" w:rsidP="0078314E">
      <w:pPr>
        <w:spacing w:after="0" w:line="276" w:lineRule="auto"/>
        <w:jc w:val="both"/>
        <w:rPr>
          <w:rFonts w:eastAsia="Calibri" w:cstheme="minorHAnsi"/>
          <w:lang w:val="ro-MD"/>
        </w:rPr>
      </w:pPr>
      <w:r w:rsidRPr="008B07F9">
        <w:rPr>
          <w:rFonts w:eastAsia="Calibri" w:cstheme="minorHAnsi"/>
          <w:lang w:val="ro-MD"/>
        </w:rPr>
        <w:t>Rezultatul 2: Punerea finală în funcțiune a obiectului într-o perioadă de: până la 3 luni de la data acceptării obiectului la finalizarea lucrărilor.</w:t>
      </w:r>
    </w:p>
    <w:p w14:paraId="4EE1831C" w14:textId="77777777" w:rsidR="0078314E" w:rsidRPr="008B07F9" w:rsidRDefault="0078314E" w:rsidP="0078314E">
      <w:pPr>
        <w:spacing w:after="0" w:line="276" w:lineRule="auto"/>
        <w:jc w:val="both"/>
        <w:rPr>
          <w:rFonts w:eastAsia="Calibri" w:cstheme="minorHAnsi"/>
          <w:lang w:val="ro-MD"/>
        </w:rPr>
      </w:pPr>
    </w:p>
    <w:p w14:paraId="01883B7A" w14:textId="17C95A0C" w:rsidR="00C035C8" w:rsidRPr="008B07F9" w:rsidRDefault="00993566" w:rsidP="00473798">
      <w:pPr>
        <w:pStyle w:val="Heading1"/>
        <w:keepLines w:val="0"/>
        <w:widowControl w:val="0"/>
        <w:numPr>
          <w:ilvl w:val="0"/>
          <w:numId w:val="1"/>
        </w:numPr>
        <w:autoSpaceDE w:val="0"/>
        <w:autoSpaceDN w:val="0"/>
        <w:spacing w:before="0" w:line="276" w:lineRule="auto"/>
        <w:rPr>
          <w:rFonts w:asciiTheme="minorHAnsi" w:hAnsiTheme="minorHAnsi" w:cstheme="minorHAnsi"/>
          <w:b/>
          <w:color w:val="auto"/>
          <w:sz w:val="22"/>
          <w:szCs w:val="22"/>
          <w:lang w:val="ro-MD"/>
        </w:rPr>
      </w:pPr>
      <w:bookmarkStart w:id="0" w:name="_Toc300087730"/>
      <w:r w:rsidRPr="008B07F9">
        <w:rPr>
          <w:rFonts w:asciiTheme="minorHAnsi" w:hAnsiTheme="minorHAnsi" w:cstheme="minorHAnsi"/>
          <w:b/>
          <w:color w:val="auto"/>
          <w:sz w:val="22"/>
          <w:szCs w:val="22"/>
          <w:lang w:val="ro-MD"/>
        </w:rPr>
        <w:t xml:space="preserve"> </w:t>
      </w:r>
      <w:r w:rsidR="00473798" w:rsidRPr="008B07F9">
        <w:rPr>
          <w:rFonts w:asciiTheme="minorHAnsi" w:hAnsiTheme="minorHAnsi" w:cstheme="minorHAnsi"/>
          <w:b/>
          <w:color w:val="auto"/>
          <w:sz w:val="22"/>
          <w:szCs w:val="22"/>
          <w:lang w:val="ro-MD"/>
        </w:rPr>
        <w:t>Principalele cerințe și specificații tehnice</w:t>
      </w:r>
    </w:p>
    <w:p w14:paraId="5B25866D" w14:textId="3A67898E" w:rsidR="00C035C8" w:rsidRPr="008B07F9" w:rsidRDefault="00C035C8" w:rsidP="00C035C8">
      <w:pPr>
        <w:spacing w:after="0"/>
        <w:jc w:val="both"/>
        <w:rPr>
          <w:rFonts w:cstheme="minorHAnsi"/>
          <w:lang w:val="ro-MD"/>
        </w:rPr>
      </w:pPr>
      <w:r w:rsidRPr="008B07F9">
        <w:rPr>
          <w:rFonts w:cstheme="minorHAnsi"/>
          <w:lang w:val="ro-MD"/>
        </w:rPr>
        <w:t xml:space="preserve">6.1. </w:t>
      </w:r>
      <w:r w:rsidR="00473798" w:rsidRPr="008B07F9">
        <w:rPr>
          <w:rFonts w:cstheme="minorHAnsi"/>
          <w:i/>
          <w:u w:val="single"/>
          <w:lang w:val="ro-MD"/>
        </w:rPr>
        <w:t>Proiect tehnic</w:t>
      </w:r>
      <w:r w:rsidR="00473798" w:rsidRPr="008B07F9">
        <w:rPr>
          <w:rFonts w:cstheme="minorHAnsi"/>
          <w:lang w:val="ro-MD"/>
        </w:rPr>
        <w:t>: Lucrările de construcție incluse în termenii de referință emise pentru această licitație se efectuează în conformitate cu Proiecte Tehnice furnizate de proiect. Cerințele tehnice cuprinse în termenii de referință sunt extrase din prescripțiile tehnice ale proiectului tehnic</w:t>
      </w:r>
      <w:r w:rsidRPr="008B07F9">
        <w:rPr>
          <w:rFonts w:cstheme="minorHAnsi"/>
          <w:lang w:val="ro-MD"/>
        </w:rPr>
        <w:t>.</w:t>
      </w:r>
    </w:p>
    <w:p w14:paraId="49A2FD0E" w14:textId="77777777" w:rsidR="00C035C8" w:rsidRPr="008B07F9" w:rsidRDefault="00C035C8" w:rsidP="00C035C8">
      <w:pPr>
        <w:spacing w:after="0"/>
        <w:jc w:val="both"/>
        <w:rPr>
          <w:rFonts w:cstheme="minorHAnsi"/>
          <w:b/>
          <w:i/>
          <w:lang w:val="ro-MD"/>
        </w:rPr>
      </w:pPr>
      <w:r w:rsidRPr="008B07F9">
        <w:rPr>
          <w:rFonts w:cstheme="minorHAnsi"/>
          <w:b/>
          <w:i/>
          <w:lang w:val="ro-MD"/>
        </w:rPr>
        <w:t xml:space="preserve">   </w:t>
      </w:r>
    </w:p>
    <w:p w14:paraId="6E738035" w14:textId="2315A948" w:rsidR="00C035C8" w:rsidRPr="008B07F9" w:rsidRDefault="00C035C8" w:rsidP="00C035C8">
      <w:pPr>
        <w:pStyle w:val="Default"/>
        <w:spacing w:line="276" w:lineRule="auto"/>
        <w:jc w:val="both"/>
        <w:rPr>
          <w:rFonts w:asciiTheme="minorHAnsi" w:hAnsiTheme="minorHAnsi" w:cstheme="minorHAnsi"/>
          <w:sz w:val="22"/>
          <w:szCs w:val="22"/>
          <w:lang w:val="ro-MD"/>
        </w:rPr>
      </w:pPr>
      <w:r w:rsidRPr="008B07F9">
        <w:rPr>
          <w:rFonts w:asciiTheme="minorHAnsi" w:hAnsiTheme="minorHAnsi" w:cstheme="minorHAnsi"/>
          <w:sz w:val="22"/>
          <w:szCs w:val="22"/>
          <w:lang w:val="ro-MD"/>
        </w:rPr>
        <w:t xml:space="preserve">6.2. </w:t>
      </w:r>
      <w:r w:rsidR="00B10729" w:rsidRPr="008B07F9">
        <w:rPr>
          <w:rFonts w:asciiTheme="minorHAnsi" w:hAnsiTheme="minorHAnsi" w:cstheme="minorHAnsi"/>
          <w:i/>
          <w:sz w:val="22"/>
          <w:szCs w:val="22"/>
          <w:u w:val="single"/>
          <w:lang w:val="ro-MD"/>
        </w:rPr>
        <w:t>Organizarea și documentarea lucrărilor de construcție</w:t>
      </w:r>
      <w:r w:rsidRPr="008B07F9">
        <w:rPr>
          <w:rFonts w:asciiTheme="minorHAnsi" w:hAnsiTheme="minorHAnsi" w:cstheme="minorHAnsi"/>
          <w:sz w:val="22"/>
          <w:szCs w:val="22"/>
          <w:lang w:val="ro-MD"/>
        </w:rPr>
        <w:t xml:space="preserve">: </w:t>
      </w:r>
    </w:p>
    <w:p w14:paraId="600A695D" w14:textId="2BBB3FDF" w:rsidR="00C035C8" w:rsidRPr="008B07F9" w:rsidRDefault="00B10729" w:rsidP="00C035C8">
      <w:pPr>
        <w:pStyle w:val="Default"/>
        <w:spacing w:line="276" w:lineRule="auto"/>
        <w:jc w:val="both"/>
        <w:rPr>
          <w:rFonts w:asciiTheme="minorHAnsi" w:hAnsiTheme="minorHAnsi" w:cstheme="minorHAnsi"/>
          <w:sz w:val="22"/>
          <w:szCs w:val="22"/>
          <w:lang w:val="ro-MD"/>
        </w:rPr>
      </w:pPr>
      <w:r w:rsidRPr="008B07F9">
        <w:rPr>
          <w:rFonts w:asciiTheme="minorHAnsi" w:hAnsiTheme="minorHAnsi" w:cstheme="minorHAnsi"/>
          <w:sz w:val="22"/>
          <w:szCs w:val="22"/>
          <w:lang w:val="ro-MD"/>
        </w:rPr>
        <w:t>Orice lucrare pentru pregătirea șantierului de construcție va fi inițiată numai după ce contractantul va obține</w:t>
      </w:r>
      <w:r w:rsidRPr="008B07F9">
        <w:rPr>
          <w:rFonts w:asciiTheme="minorHAnsi" w:hAnsiTheme="minorHAnsi" w:cstheme="minorHAnsi"/>
          <w:i/>
          <w:sz w:val="22"/>
          <w:szCs w:val="22"/>
          <w:u w:val="single"/>
          <w:lang w:val="ro-MD"/>
        </w:rPr>
        <w:t xml:space="preserve"> permisul de construcție și de </w:t>
      </w:r>
      <w:r w:rsidR="00763612" w:rsidRPr="008B07F9">
        <w:rPr>
          <w:rFonts w:asciiTheme="minorHAnsi" w:hAnsiTheme="minorHAnsi" w:cstheme="minorHAnsi"/>
          <w:i/>
          <w:sz w:val="22"/>
          <w:szCs w:val="22"/>
          <w:u w:val="single"/>
          <w:lang w:val="ro-MD"/>
        </w:rPr>
        <w:t>recepție</w:t>
      </w:r>
      <w:r w:rsidRPr="008B07F9">
        <w:rPr>
          <w:rFonts w:asciiTheme="minorHAnsi" w:hAnsiTheme="minorHAnsi" w:cstheme="minorHAnsi"/>
          <w:i/>
          <w:sz w:val="22"/>
          <w:szCs w:val="22"/>
          <w:u w:val="single"/>
          <w:lang w:val="ro-MD"/>
        </w:rPr>
        <w:t xml:space="preserve"> a șantierului</w:t>
      </w:r>
      <w:r w:rsidR="00C035C8" w:rsidRPr="008B07F9">
        <w:rPr>
          <w:rFonts w:asciiTheme="minorHAnsi" w:hAnsiTheme="minorHAnsi" w:cstheme="minorHAnsi"/>
          <w:sz w:val="22"/>
          <w:szCs w:val="22"/>
          <w:lang w:val="ro-MD"/>
        </w:rPr>
        <w:t xml:space="preserve">. </w:t>
      </w:r>
      <w:r w:rsidR="00763612" w:rsidRPr="008B07F9">
        <w:rPr>
          <w:rFonts w:asciiTheme="minorHAnsi" w:hAnsiTheme="minorHAnsi" w:cstheme="minorHAnsi"/>
          <w:sz w:val="22"/>
          <w:szCs w:val="22"/>
          <w:lang w:val="ro-MD"/>
        </w:rPr>
        <w:t>Înainte de începerea lucrărilor de construcție, terenul autorizat pentru construcție va fi îngrădit cu un gard temporar, care va fi demontat numai după finalizarea tuturor lucrărilor de construcție și montaj prevăzute în contract.</w:t>
      </w:r>
      <w:r w:rsidR="00C035C8" w:rsidRPr="008B07F9">
        <w:rPr>
          <w:rFonts w:asciiTheme="minorHAnsi" w:hAnsiTheme="minorHAnsi" w:cstheme="minorHAnsi"/>
          <w:sz w:val="22"/>
          <w:szCs w:val="22"/>
          <w:lang w:val="ro-MD"/>
        </w:rPr>
        <w:t xml:space="preserve"> </w:t>
      </w:r>
      <w:r w:rsidR="00F94537" w:rsidRPr="008B07F9">
        <w:rPr>
          <w:rFonts w:asciiTheme="minorHAnsi" w:hAnsiTheme="minorHAnsi" w:cstheme="minorHAnsi"/>
          <w:sz w:val="22"/>
          <w:szCs w:val="22"/>
          <w:lang w:val="ro-MD"/>
        </w:rPr>
        <w:t>Lucrările de construcție vor fi executate în conformitate cu secțiunea proiectului tehnic „Organizarea lucrărilor de construcții” - OLC și cu prevederile documentelor normative NCM A.08 .02 -2014 „S</w:t>
      </w:r>
      <w:r w:rsidR="00F94537" w:rsidRPr="008B07F9">
        <w:rPr>
          <w:rFonts w:asciiTheme="minorHAnsi" w:hAnsiTheme="minorHAnsi" w:cstheme="minorHAnsi"/>
          <w:sz w:val="22"/>
          <w:szCs w:val="22"/>
          <w:lang w:val="ro-MD"/>
        </w:rPr>
        <w:t xml:space="preserve">ecuritatea </w:t>
      </w:r>
      <w:r w:rsidR="00F94537" w:rsidRPr="008B07F9">
        <w:rPr>
          <w:rFonts w:asciiTheme="minorHAnsi" w:hAnsiTheme="minorHAnsi" w:cstheme="minorHAnsi"/>
          <w:sz w:val="22"/>
          <w:szCs w:val="22"/>
          <w:lang w:val="ro-MD"/>
        </w:rPr>
        <w:t>și s</w:t>
      </w:r>
      <w:r w:rsidR="00F94537" w:rsidRPr="008B07F9">
        <w:rPr>
          <w:rFonts w:asciiTheme="minorHAnsi" w:hAnsiTheme="minorHAnsi" w:cstheme="minorHAnsi"/>
          <w:sz w:val="22"/>
          <w:szCs w:val="22"/>
          <w:lang w:val="ro-MD"/>
        </w:rPr>
        <w:t xml:space="preserve">ănătatea </w:t>
      </w:r>
      <w:r w:rsidR="00F94537" w:rsidRPr="008B07F9">
        <w:rPr>
          <w:rFonts w:asciiTheme="minorHAnsi" w:hAnsiTheme="minorHAnsi" w:cstheme="minorHAnsi"/>
          <w:sz w:val="22"/>
          <w:szCs w:val="22"/>
          <w:lang w:val="ro-MD"/>
        </w:rPr>
        <w:t>muncii în construcții”.</w:t>
      </w:r>
      <w:r w:rsidR="00453F73" w:rsidRPr="008B07F9">
        <w:rPr>
          <w:rFonts w:asciiTheme="minorHAnsi" w:hAnsiTheme="minorHAnsi" w:cstheme="minorHAnsi"/>
          <w:sz w:val="22"/>
          <w:szCs w:val="22"/>
          <w:lang w:val="ro-MD"/>
        </w:rPr>
        <w:t xml:space="preserve"> </w:t>
      </w:r>
      <w:r w:rsidR="00F94537" w:rsidRPr="008B07F9">
        <w:rPr>
          <w:rFonts w:asciiTheme="minorHAnsi" w:hAnsiTheme="minorHAnsi" w:cstheme="minorHAnsi"/>
          <w:sz w:val="22"/>
          <w:szCs w:val="22"/>
          <w:lang w:val="ro-MD"/>
        </w:rPr>
        <w:t>În timpul verificării, acceptării lucrărilor de construcții și a instalațiilor aferente, se vor respecta normele în vigoare pentru a asigura aplicarea sistemului calității în construcții instituite prin Legea nr. 721 din 02.02.1996 privind calitatea în construcții și prin intermediul altor acte normative conexe.</w:t>
      </w:r>
      <w:r w:rsidR="00C035C8" w:rsidRPr="008B07F9">
        <w:rPr>
          <w:rFonts w:asciiTheme="minorHAnsi" w:hAnsiTheme="minorHAnsi" w:cstheme="minorHAnsi"/>
          <w:sz w:val="22"/>
          <w:szCs w:val="22"/>
          <w:lang w:val="ro-MD"/>
        </w:rPr>
        <w:t xml:space="preserve"> </w:t>
      </w:r>
    </w:p>
    <w:p w14:paraId="0A78F539" w14:textId="1A7C814A" w:rsidR="00C035C8" w:rsidRPr="008B07F9" w:rsidRDefault="00C035C8" w:rsidP="00C035C8">
      <w:pPr>
        <w:spacing w:after="0"/>
        <w:jc w:val="both"/>
        <w:rPr>
          <w:rFonts w:cstheme="minorHAnsi"/>
          <w:lang w:val="ro-MD"/>
        </w:rPr>
      </w:pPr>
      <w:r w:rsidRPr="008B07F9">
        <w:rPr>
          <w:rFonts w:cstheme="minorHAnsi"/>
          <w:lang w:val="ro-MD"/>
        </w:rPr>
        <w:t xml:space="preserve"> </w:t>
      </w:r>
      <w:r w:rsidR="00F94537" w:rsidRPr="008B07F9">
        <w:rPr>
          <w:rFonts w:cstheme="minorHAnsi"/>
          <w:i/>
          <w:u w:val="single"/>
          <w:lang w:val="ro-MD"/>
        </w:rPr>
        <w:t xml:space="preserve">Atenţie! </w:t>
      </w:r>
      <w:r w:rsidR="00F94537" w:rsidRPr="008B07F9">
        <w:rPr>
          <w:rFonts w:cstheme="minorHAnsi"/>
          <w:lang w:val="ro-MD"/>
        </w:rPr>
        <w:t>Toate lucrările executate vor fi înregistrate zilnic în Fișa tehnică a obiectului. Lucrările ascunse vor fi acceptate folosind procese verbale de verificare în conformitate cu prevederile CP A.08.01-96. Procesul verbal va face parte din fișa tehnică a obiectului / construcției.</w:t>
      </w:r>
    </w:p>
    <w:p w14:paraId="5D64366A" w14:textId="039529D8" w:rsidR="00C035C8" w:rsidRPr="008B07F9" w:rsidRDefault="00F847CE" w:rsidP="00C035C8">
      <w:pPr>
        <w:spacing w:after="0"/>
        <w:jc w:val="both"/>
        <w:rPr>
          <w:rStyle w:val="docheader"/>
          <w:rFonts w:cstheme="minorHAnsi"/>
          <w:lang w:val="ro-MD"/>
        </w:rPr>
      </w:pPr>
      <w:r w:rsidRPr="008B07F9">
        <w:rPr>
          <w:rFonts w:cstheme="minorHAnsi"/>
          <w:lang w:val="ro-MD"/>
        </w:rPr>
        <w:t xml:space="preserve">Scopul fișierului tehnic este de a reflecta documentar cursul de performanță a construcției. Oferă posibilitatea de a urmări și de a cunoaște calitatea lucrărilor de construcție, principalele caracteristici și parametrii obiectului, precum și evoluția acestora după punerea în funcțiune și, direct, în timpul funcționării sale. </w:t>
      </w:r>
      <w:r w:rsidRPr="008B07F9">
        <w:rPr>
          <w:rStyle w:val="docheader"/>
          <w:rFonts w:cstheme="minorHAnsi"/>
          <w:lang w:val="ro-MD"/>
        </w:rPr>
        <w:t>Fișierul tehnic al construcției (FTC) cuprinde toată documentația tehnică privind performanța construcției, începând cu stadiul de proiectare și până la punerea în funcțiune a obiectului și a sistemelor de inginerie,</w:t>
      </w:r>
      <w:r w:rsidR="00C035C8" w:rsidRPr="008B07F9">
        <w:rPr>
          <w:rStyle w:val="docheader"/>
          <w:rFonts w:cstheme="minorHAnsi"/>
          <w:lang w:val="ro-MD"/>
        </w:rPr>
        <w:t xml:space="preserve"> </w:t>
      </w:r>
      <w:r w:rsidRPr="008B07F9">
        <w:rPr>
          <w:rStyle w:val="docheader"/>
          <w:rFonts w:cstheme="minorHAnsi"/>
          <w:lang w:val="ro-MD"/>
        </w:rPr>
        <w:t xml:space="preserve">și oglinzi în același </w:t>
      </w:r>
      <w:r w:rsidRPr="008B07F9">
        <w:rPr>
          <w:rStyle w:val="docheader"/>
          <w:rFonts w:cstheme="minorHAnsi"/>
          <w:lang w:val="ro-MD"/>
        </w:rPr>
        <w:lastRenderedPageBreak/>
        <w:t>timp funcționarea ulterioară a obiectului, inclusiv toate modificările care pot fi făcute în procesul de funcționare.</w:t>
      </w:r>
      <w:r w:rsidR="00C035C8" w:rsidRPr="008B07F9">
        <w:rPr>
          <w:rStyle w:val="docheader"/>
          <w:rFonts w:cstheme="minorHAnsi"/>
          <w:lang w:val="ro-MD"/>
        </w:rPr>
        <w:t xml:space="preserve"> </w:t>
      </w:r>
    </w:p>
    <w:p w14:paraId="68886EE0" w14:textId="77777777" w:rsidR="00C035C8" w:rsidRPr="008B07F9" w:rsidRDefault="00C035C8" w:rsidP="00C035C8">
      <w:pPr>
        <w:spacing w:after="0"/>
        <w:jc w:val="both"/>
        <w:rPr>
          <w:rFonts w:cstheme="minorHAnsi"/>
          <w:i/>
          <w:lang w:val="ro-MD"/>
        </w:rPr>
      </w:pPr>
      <w:bookmarkStart w:id="1" w:name="_GoBack"/>
      <w:bookmarkEnd w:id="1"/>
    </w:p>
    <w:p w14:paraId="7B7B7731" w14:textId="2385E753" w:rsidR="008C23AE" w:rsidRPr="008B07F9" w:rsidRDefault="008C23AE" w:rsidP="008C23AE">
      <w:pPr>
        <w:spacing w:after="0"/>
        <w:jc w:val="both"/>
        <w:rPr>
          <w:rFonts w:cstheme="minorHAnsi"/>
          <w:i/>
          <w:u w:val="single"/>
          <w:lang w:val="ro-MD"/>
        </w:rPr>
      </w:pPr>
      <w:r w:rsidRPr="008B07F9">
        <w:rPr>
          <w:rFonts w:cstheme="minorHAnsi"/>
          <w:i/>
          <w:u w:val="single"/>
          <w:lang w:val="ro-MD"/>
        </w:rPr>
        <w:t>6.3 Planul general</w:t>
      </w:r>
    </w:p>
    <w:p w14:paraId="30EF4EC4" w14:textId="569FE65E" w:rsidR="008C23AE" w:rsidRPr="008B07F9" w:rsidRDefault="008C23AE" w:rsidP="008C23AE">
      <w:pPr>
        <w:spacing w:after="0"/>
        <w:jc w:val="both"/>
        <w:rPr>
          <w:rFonts w:cstheme="minorHAnsi"/>
          <w:lang w:val="ro-MD"/>
        </w:rPr>
      </w:pPr>
      <w:r w:rsidRPr="008B07F9">
        <w:rPr>
          <w:rFonts w:cstheme="minorHAnsi"/>
          <w:i/>
          <w:lang w:val="ro-MD"/>
        </w:rPr>
        <w:t xml:space="preserve"> </w:t>
      </w:r>
      <w:r w:rsidRPr="008B07F9">
        <w:rPr>
          <w:rFonts w:cstheme="minorHAnsi"/>
          <w:i/>
          <w:u w:val="single"/>
          <w:lang w:val="ro-MD"/>
        </w:rPr>
        <w:t>Soluţii pentru planul general.</w:t>
      </w:r>
      <w:r w:rsidRPr="008B07F9">
        <w:rPr>
          <w:rFonts w:cstheme="minorHAnsi"/>
          <w:i/>
          <w:lang w:val="ro-MD"/>
        </w:rPr>
        <w:t xml:space="preserve"> </w:t>
      </w:r>
      <w:r w:rsidRPr="008B07F9">
        <w:rPr>
          <w:rFonts w:cstheme="minorHAnsi"/>
          <w:lang w:val="ro-MD"/>
        </w:rPr>
        <w:t>Planul general a fost elaborart în conformitate cu sarcina de arhitectură și planificare, luînd în considerație zona</w:t>
      </w:r>
      <w:r w:rsidR="00E246AE" w:rsidRPr="008B07F9">
        <w:rPr>
          <w:rFonts w:cstheme="minorHAnsi"/>
          <w:lang w:val="ro-MD"/>
        </w:rPr>
        <w:t>rea funcțională a teritoriului</w:t>
      </w:r>
      <w:r w:rsidRPr="008B07F9">
        <w:rPr>
          <w:rFonts w:cstheme="minorHAnsi"/>
          <w:lang w:val="ro-MD"/>
        </w:rPr>
        <w:t>, în coordonare cu construcțiile existente și relieful existent, precum și în conformitate cu norme de construcții, sanitare și antiincendiare. Planul general prevede amenajar</w:t>
      </w:r>
      <w:r w:rsidR="00E246AE" w:rsidRPr="008B07F9">
        <w:rPr>
          <w:rFonts w:cstheme="minorHAnsi"/>
          <w:lang w:val="ro-MD"/>
        </w:rPr>
        <w:t>ea teritoriulu adiacent clădirei</w:t>
      </w:r>
      <w:r w:rsidRPr="008B07F9">
        <w:rPr>
          <w:rFonts w:cstheme="minorHAnsi"/>
          <w:lang w:val="ro-MD"/>
        </w:rPr>
        <w:t xml:space="preserve">. </w:t>
      </w:r>
      <w:r w:rsidR="00E246AE" w:rsidRPr="008B07F9">
        <w:rPr>
          <w:rFonts w:cstheme="minorHAnsi"/>
          <w:lang w:val="ro-MD"/>
        </w:rPr>
        <w:t>Astfel</w:t>
      </w:r>
      <w:r w:rsidRPr="008B07F9">
        <w:rPr>
          <w:rFonts w:cstheme="minorHAnsi"/>
          <w:lang w:val="ro-MD"/>
        </w:rPr>
        <w:t xml:space="preserve"> se prevede restaurarea acoperirei existente din beton asfaltic lîngă rampa de acces pentru PML pe scaun rulant și reconstruirea acoperirii trecerii de pietoni. În acoperirea din beton asfaltic nou și în acoperirea din dale de trotuar nouă se instalează dale tactile de trotuar pe căile de circulație a pietonilor, și spre accesul principal în clădirea centrului de tineret. Organizarea reliefului lîngă clădirea centrului se execută în limita cotelor de nivel existente. </w:t>
      </w:r>
    </w:p>
    <w:p w14:paraId="67AD890C" w14:textId="77777777" w:rsidR="008C23AE" w:rsidRPr="008B07F9" w:rsidRDefault="008C23AE" w:rsidP="008C23AE">
      <w:pPr>
        <w:spacing w:after="0"/>
        <w:jc w:val="both"/>
        <w:rPr>
          <w:rFonts w:cstheme="minorHAnsi"/>
          <w:i/>
          <w:lang w:val="ro-MD"/>
        </w:rPr>
      </w:pPr>
    </w:p>
    <w:p w14:paraId="40E88E1B" w14:textId="477F2427" w:rsidR="008C23AE" w:rsidRPr="008B07F9" w:rsidRDefault="008C23AE" w:rsidP="008C23AE">
      <w:pPr>
        <w:spacing w:after="0"/>
        <w:jc w:val="both"/>
        <w:rPr>
          <w:rFonts w:cstheme="minorHAnsi"/>
          <w:i/>
          <w:u w:val="single"/>
          <w:lang w:val="ro-MD"/>
        </w:rPr>
      </w:pPr>
      <w:r w:rsidRPr="008B07F9">
        <w:rPr>
          <w:rFonts w:cstheme="minorHAnsi"/>
          <w:i/>
          <w:u w:val="single"/>
          <w:lang w:val="ro-MD"/>
        </w:rPr>
        <w:t>6.4 Soluții arhitecturale</w:t>
      </w:r>
    </w:p>
    <w:p w14:paraId="45197655" w14:textId="17D580B7" w:rsidR="008C23AE" w:rsidRPr="008B07F9" w:rsidRDefault="008C23AE" w:rsidP="008C23AE">
      <w:pPr>
        <w:spacing w:after="0"/>
        <w:jc w:val="both"/>
        <w:rPr>
          <w:rFonts w:cstheme="minorHAnsi"/>
          <w:lang w:val="ro-MD"/>
        </w:rPr>
      </w:pPr>
      <w:r w:rsidRPr="008B07F9">
        <w:rPr>
          <w:rFonts w:cstheme="minorHAnsi"/>
          <w:i/>
          <w:u w:val="single"/>
          <w:lang w:val="ro-MD"/>
        </w:rPr>
        <w:t>Date generale.</w:t>
      </w:r>
      <w:r w:rsidRPr="008B07F9">
        <w:rPr>
          <w:rFonts w:cstheme="minorHAnsi"/>
          <w:i/>
          <w:lang w:val="ro-MD"/>
        </w:rPr>
        <w:t xml:space="preserve"> </w:t>
      </w:r>
      <w:r w:rsidRPr="008B07F9">
        <w:rPr>
          <w:rFonts w:cstheme="minorHAnsi"/>
          <w:lang w:val="ro-MD"/>
        </w:rPr>
        <w:t>Caietul de sarcina prevede, folosind mijloace și măsuri arhitecturale, de sistematizare, tehnicoedilitare, constructive și informaționale, pentru a îndeplini „acomodări rezonabile” de accesibilitate în încăp</w:t>
      </w:r>
      <w:r w:rsidR="00E246AE" w:rsidRPr="008B07F9">
        <w:rPr>
          <w:rFonts w:cstheme="minorHAnsi"/>
          <w:lang w:val="ro-MD"/>
        </w:rPr>
        <w:t>erile existente ale Centrelor de Tineret</w:t>
      </w:r>
      <w:r w:rsidRPr="008B07F9">
        <w:rPr>
          <w:rFonts w:cstheme="minorHAnsi"/>
          <w:lang w:val="ro-MD"/>
        </w:rPr>
        <w:t>. Organizarea accesibilității în clădirea Centrului va asigura un nivel sporit al calității de abilitație pentru persoane cu mobilitate limitată (PML).</w:t>
      </w:r>
    </w:p>
    <w:p w14:paraId="7CDD6907" w14:textId="77777777" w:rsidR="008C23AE" w:rsidRPr="008B07F9" w:rsidRDefault="008C23AE" w:rsidP="008C23AE">
      <w:pPr>
        <w:spacing w:after="0"/>
        <w:jc w:val="both"/>
        <w:rPr>
          <w:rFonts w:cstheme="minorHAnsi"/>
          <w:lang w:val="ro-MD"/>
        </w:rPr>
      </w:pPr>
      <w:r w:rsidRPr="008B07F9">
        <w:rPr>
          <w:rFonts w:cstheme="minorHAnsi"/>
          <w:lang w:val="ro-MD"/>
        </w:rPr>
        <w:t>În proiect sunt respectate exigențe principale pentru PML ca:</w:t>
      </w:r>
    </w:p>
    <w:p w14:paraId="55131CB1" w14:textId="467134A8" w:rsidR="008C23AE" w:rsidRPr="008B07F9" w:rsidRDefault="00E246AE" w:rsidP="008C23AE">
      <w:pPr>
        <w:spacing w:after="0"/>
        <w:jc w:val="both"/>
        <w:rPr>
          <w:rFonts w:cstheme="minorHAnsi"/>
          <w:lang w:val="ro-MD"/>
        </w:rPr>
      </w:pPr>
      <w:r w:rsidRPr="008B07F9">
        <w:rPr>
          <w:rFonts w:cstheme="minorHAnsi"/>
          <w:lang w:val="ro-MD"/>
        </w:rPr>
        <w:t xml:space="preserve">  </w:t>
      </w:r>
      <w:r w:rsidR="008C23AE" w:rsidRPr="008B07F9">
        <w:rPr>
          <w:rFonts w:cstheme="minorHAnsi"/>
          <w:lang w:val="ro-MD"/>
        </w:rPr>
        <w:t>•</w:t>
      </w:r>
      <w:r w:rsidRPr="008B07F9">
        <w:rPr>
          <w:rFonts w:cstheme="minorHAnsi"/>
          <w:lang w:val="ro-MD"/>
        </w:rPr>
        <w:t xml:space="preserve">  </w:t>
      </w:r>
      <w:r w:rsidR="008C23AE" w:rsidRPr="008B07F9">
        <w:rPr>
          <w:rFonts w:cstheme="minorHAnsi"/>
          <w:lang w:val="ro-MD"/>
        </w:rPr>
        <w:tab/>
        <w:t>Accesibilitatea PML pe calea cea mai scurtă la încăperile centrului și deplasarea liberă în interiorul clădirei</w:t>
      </w:r>
      <w:r w:rsidRPr="008B07F9">
        <w:rPr>
          <w:rFonts w:cstheme="minorHAnsi"/>
          <w:lang w:val="ro-MD"/>
        </w:rPr>
        <w:t>;</w:t>
      </w:r>
    </w:p>
    <w:p w14:paraId="5940828C" w14:textId="7FFDE925" w:rsidR="008C23AE" w:rsidRPr="008B07F9" w:rsidRDefault="00E246AE" w:rsidP="008C23AE">
      <w:pPr>
        <w:spacing w:after="0"/>
        <w:jc w:val="both"/>
        <w:rPr>
          <w:rFonts w:cstheme="minorHAnsi"/>
          <w:lang w:val="ro-MD"/>
        </w:rPr>
      </w:pPr>
      <w:r w:rsidRPr="008B07F9">
        <w:rPr>
          <w:rFonts w:cstheme="minorHAnsi"/>
          <w:lang w:val="ro-MD"/>
        </w:rPr>
        <w:t xml:space="preserve">  </w:t>
      </w:r>
      <w:r w:rsidR="008C23AE" w:rsidRPr="008B07F9">
        <w:rPr>
          <w:rFonts w:cstheme="minorHAnsi"/>
          <w:lang w:val="ro-MD"/>
        </w:rPr>
        <w:t>•</w:t>
      </w:r>
      <w:r w:rsidRPr="008B07F9">
        <w:rPr>
          <w:rFonts w:cstheme="minorHAnsi"/>
          <w:lang w:val="ro-MD"/>
        </w:rPr>
        <w:t xml:space="preserve">  </w:t>
      </w:r>
      <w:r w:rsidR="008C23AE" w:rsidRPr="008B07F9">
        <w:rPr>
          <w:rFonts w:cstheme="minorHAnsi"/>
          <w:lang w:val="ro-MD"/>
        </w:rPr>
        <w:tab/>
        <w:t>Siguranța căilor de circulație</w:t>
      </w:r>
      <w:r w:rsidRPr="008B07F9">
        <w:rPr>
          <w:rFonts w:cstheme="minorHAnsi"/>
          <w:lang w:val="ro-MD"/>
        </w:rPr>
        <w:t>;</w:t>
      </w:r>
    </w:p>
    <w:p w14:paraId="1ADD234E" w14:textId="0E39474E" w:rsidR="008C23AE" w:rsidRPr="008B07F9" w:rsidRDefault="00E246AE" w:rsidP="008C23AE">
      <w:pPr>
        <w:spacing w:after="0"/>
        <w:jc w:val="both"/>
        <w:rPr>
          <w:rFonts w:cstheme="minorHAnsi"/>
          <w:lang w:val="ro-MD"/>
        </w:rPr>
      </w:pPr>
      <w:r w:rsidRPr="008B07F9">
        <w:rPr>
          <w:rFonts w:cstheme="minorHAnsi"/>
          <w:lang w:val="ro-MD"/>
        </w:rPr>
        <w:t xml:space="preserve">  </w:t>
      </w:r>
      <w:r w:rsidR="008C23AE" w:rsidRPr="008B07F9">
        <w:rPr>
          <w:rFonts w:cstheme="minorHAnsi"/>
          <w:lang w:val="ro-MD"/>
        </w:rPr>
        <w:t>•</w:t>
      </w:r>
      <w:r w:rsidRPr="008B07F9">
        <w:rPr>
          <w:rFonts w:cstheme="minorHAnsi"/>
          <w:lang w:val="ro-MD"/>
        </w:rPr>
        <w:t xml:space="preserve">  </w:t>
      </w:r>
      <w:r w:rsidR="008C23AE" w:rsidRPr="008B07F9">
        <w:rPr>
          <w:rFonts w:cstheme="minorHAnsi"/>
          <w:lang w:val="ro-MD"/>
        </w:rPr>
        <w:tab/>
        <w:t>Crearea condițiilor de utilizare a încăperilor pentru efectuarea în siguranță a activităților necesare pentru PML, individual sau cu ajutorul însoțitorului, precum și evacuarea în caz de situații excepționale.</w:t>
      </w:r>
    </w:p>
    <w:p w14:paraId="30A03723" w14:textId="7395B529" w:rsidR="008C23AE" w:rsidRPr="008B07F9" w:rsidRDefault="008C23AE" w:rsidP="008C23AE">
      <w:pPr>
        <w:spacing w:after="0"/>
        <w:jc w:val="both"/>
        <w:rPr>
          <w:rFonts w:cstheme="minorHAnsi"/>
          <w:lang w:val="ro-MD"/>
        </w:rPr>
      </w:pPr>
      <w:r w:rsidRPr="008B07F9">
        <w:rPr>
          <w:rFonts w:cstheme="minorHAnsi"/>
          <w:lang w:val="ro-MD"/>
        </w:rPr>
        <w:t>Caietul de sarcina nu prevede schimbarea destinației încăperilor și modificările spațiilor. Accesul pentru PML este asigurat în majoritatea încăperilor centrului ce p</w:t>
      </w:r>
      <w:r w:rsidR="00E246AE" w:rsidRPr="008B07F9">
        <w:rPr>
          <w:rFonts w:cstheme="minorHAnsi"/>
          <w:lang w:val="ro-MD"/>
        </w:rPr>
        <w:t>ermite includerea lor în activi</w:t>
      </w:r>
      <w:r w:rsidRPr="008B07F9">
        <w:rPr>
          <w:rFonts w:cstheme="minorHAnsi"/>
          <w:lang w:val="ro-MD"/>
        </w:rPr>
        <w:t xml:space="preserve">tățile organizate în incinta centrului de tineret. </w:t>
      </w:r>
    </w:p>
    <w:p w14:paraId="0D6FFE5A" w14:textId="77777777" w:rsidR="008C23AE" w:rsidRPr="008B07F9" w:rsidRDefault="008C23AE" w:rsidP="008C23AE">
      <w:pPr>
        <w:spacing w:after="0"/>
        <w:jc w:val="both"/>
        <w:rPr>
          <w:rFonts w:cstheme="minorHAnsi"/>
          <w:lang w:val="ro-MD"/>
        </w:rPr>
      </w:pPr>
    </w:p>
    <w:p w14:paraId="1C7D84DC" w14:textId="77777777" w:rsidR="008C23AE" w:rsidRPr="008B07F9" w:rsidRDefault="008C23AE" w:rsidP="008C23AE">
      <w:pPr>
        <w:spacing w:after="0"/>
        <w:jc w:val="both"/>
        <w:rPr>
          <w:rFonts w:cstheme="minorHAnsi"/>
          <w:lang w:val="ro-MD"/>
        </w:rPr>
      </w:pPr>
      <w:r w:rsidRPr="008B07F9">
        <w:rPr>
          <w:rFonts w:cstheme="minorHAnsi"/>
          <w:lang w:val="ro-MD"/>
        </w:rPr>
        <w:t>Scara de acces existentă se reconstruiește pentru a asigura o înălțime normată a treptelor și pentru a asigura accesul persoanelor cu mobilitate limitată (PML) prin intermediul unei rampe de acces cu o pantă de 8%.</w:t>
      </w:r>
    </w:p>
    <w:p w14:paraId="165EAE50" w14:textId="77777777" w:rsidR="008C23AE" w:rsidRPr="008B07F9" w:rsidRDefault="008C23AE" w:rsidP="008C23AE">
      <w:pPr>
        <w:spacing w:after="0"/>
        <w:jc w:val="both"/>
        <w:rPr>
          <w:rFonts w:cstheme="minorHAnsi"/>
          <w:i/>
          <w:lang w:val="ro-MD"/>
        </w:rPr>
      </w:pPr>
    </w:p>
    <w:p w14:paraId="6BF260F1" w14:textId="77777777" w:rsidR="008C23AE" w:rsidRPr="008B07F9" w:rsidRDefault="008C23AE" w:rsidP="008C23AE">
      <w:pPr>
        <w:spacing w:after="0"/>
        <w:jc w:val="both"/>
        <w:rPr>
          <w:rFonts w:cstheme="minorHAnsi"/>
          <w:i/>
          <w:lang w:val="ro-MD"/>
        </w:rPr>
      </w:pPr>
      <w:r w:rsidRPr="008B07F9">
        <w:rPr>
          <w:rFonts w:cstheme="minorHAnsi"/>
          <w:i/>
          <w:u w:val="single"/>
          <w:lang w:val="ro-MD"/>
        </w:rPr>
        <w:t>Finisarea încăperilor.</w:t>
      </w:r>
      <w:r w:rsidRPr="008B07F9">
        <w:rPr>
          <w:rFonts w:cstheme="minorHAnsi"/>
          <w:i/>
          <w:lang w:val="ro-MD"/>
        </w:rPr>
        <w:t xml:space="preserve"> </w:t>
      </w:r>
      <w:r w:rsidRPr="008B07F9">
        <w:rPr>
          <w:rFonts w:cstheme="minorHAnsi"/>
          <w:lang w:val="ro-MD"/>
        </w:rPr>
        <w:t>La momentul de față finisarea pereților este în stare satisfăcătoare. În sarcina sunt încluse lucrări de finisare pentru a accentua contrastul vizual în spațiile de circulație ca acoperirea cu plăci MDF a perimetrului ușilor și elementelor constructive pe căile de circulație și finisarea după lucrările de montare a rețelilor de echipament electric de forță.</w:t>
      </w:r>
      <w:r w:rsidRPr="008B07F9">
        <w:rPr>
          <w:rFonts w:cstheme="minorHAnsi"/>
          <w:i/>
          <w:lang w:val="ro-MD"/>
        </w:rPr>
        <w:t xml:space="preserve">  </w:t>
      </w:r>
    </w:p>
    <w:p w14:paraId="4C7DE567" w14:textId="77777777" w:rsidR="008C23AE" w:rsidRPr="008B07F9" w:rsidRDefault="008C23AE" w:rsidP="008C23AE">
      <w:pPr>
        <w:spacing w:after="0"/>
        <w:jc w:val="both"/>
        <w:rPr>
          <w:rFonts w:cstheme="minorHAnsi"/>
          <w:i/>
          <w:lang w:val="ro-MD"/>
        </w:rPr>
      </w:pPr>
    </w:p>
    <w:p w14:paraId="14D670F8" w14:textId="77777777" w:rsidR="008C23AE" w:rsidRPr="008B07F9" w:rsidRDefault="008C23AE" w:rsidP="008C23AE">
      <w:pPr>
        <w:spacing w:after="0"/>
        <w:jc w:val="both"/>
        <w:rPr>
          <w:rFonts w:cstheme="minorHAnsi"/>
          <w:i/>
          <w:lang w:val="ro-MD"/>
        </w:rPr>
      </w:pPr>
      <w:r w:rsidRPr="008B07F9">
        <w:rPr>
          <w:rFonts w:cstheme="minorHAnsi"/>
          <w:i/>
          <w:u w:val="single"/>
          <w:lang w:val="ro-MD"/>
        </w:rPr>
        <w:t>Pardosele.</w:t>
      </w:r>
      <w:r w:rsidRPr="008B07F9">
        <w:rPr>
          <w:rFonts w:cstheme="minorHAnsi"/>
          <w:i/>
          <w:lang w:val="ro-MD"/>
        </w:rPr>
        <w:t xml:space="preserve"> </w:t>
      </w:r>
      <w:r w:rsidRPr="008B07F9">
        <w:rPr>
          <w:rFonts w:cstheme="minorHAnsi"/>
          <w:lang w:val="ro-MD"/>
        </w:rPr>
        <w:t>Caietul de sarcina prevede schimbarea pardoselilor în coridor și blocul sanitar pentru a asigura un contrast vizual și pentru a reduce diferența de cote cu pardoselile încăperilor alăturate. În coridoare sunt marcate căile de circulație cu elemente tactile pentru PML cu vedere scăzută</w:t>
      </w:r>
    </w:p>
    <w:p w14:paraId="01B897B0" w14:textId="77777777" w:rsidR="008C23AE" w:rsidRPr="008B07F9" w:rsidRDefault="008C23AE" w:rsidP="008C23AE">
      <w:pPr>
        <w:spacing w:after="0"/>
        <w:jc w:val="both"/>
        <w:rPr>
          <w:rFonts w:cstheme="minorHAnsi"/>
          <w:i/>
          <w:lang w:val="ro-MD"/>
        </w:rPr>
      </w:pPr>
    </w:p>
    <w:p w14:paraId="219FFA41" w14:textId="77777777" w:rsidR="008C23AE" w:rsidRPr="008B07F9" w:rsidRDefault="008C23AE" w:rsidP="008C23AE">
      <w:pPr>
        <w:spacing w:after="0"/>
        <w:jc w:val="both"/>
        <w:rPr>
          <w:rFonts w:cstheme="minorHAnsi"/>
          <w:i/>
          <w:lang w:val="ro-MD"/>
        </w:rPr>
      </w:pPr>
      <w:r w:rsidRPr="008B07F9">
        <w:rPr>
          <w:rFonts w:cstheme="minorHAnsi"/>
          <w:i/>
          <w:u w:val="single"/>
          <w:lang w:val="ro-MD"/>
        </w:rPr>
        <w:t>Tîmplăria ferestrelor și ușilor.</w:t>
      </w:r>
      <w:r w:rsidRPr="008B07F9">
        <w:rPr>
          <w:rFonts w:cstheme="minorHAnsi"/>
          <w:i/>
          <w:lang w:val="ro-MD"/>
        </w:rPr>
        <w:t xml:space="preserve"> </w:t>
      </w:r>
      <w:r w:rsidRPr="008B07F9">
        <w:rPr>
          <w:rFonts w:cstheme="minorHAnsi"/>
          <w:lang w:val="ro-MD"/>
        </w:rPr>
        <w:t>Pentru PML ce se deplasează cu ajutorul scaunului rulant în proiect sunt schimbate ușile pe căile de acces, de circulație și ușile în încăperile în care pot activa pentru a asigura deschiderea de 900mm minim.</w:t>
      </w:r>
    </w:p>
    <w:p w14:paraId="115055C0" w14:textId="77777777" w:rsidR="008C23AE" w:rsidRPr="008B07F9" w:rsidRDefault="008C23AE" w:rsidP="008C23AE">
      <w:pPr>
        <w:spacing w:after="0"/>
        <w:jc w:val="both"/>
        <w:rPr>
          <w:rFonts w:cstheme="minorHAnsi"/>
          <w:i/>
          <w:lang w:val="ro-MD"/>
        </w:rPr>
      </w:pPr>
    </w:p>
    <w:p w14:paraId="4BF0683A" w14:textId="573296A6" w:rsidR="008C23AE" w:rsidRPr="008B07F9" w:rsidRDefault="008C23AE" w:rsidP="008C23AE">
      <w:pPr>
        <w:spacing w:after="0"/>
        <w:jc w:val="both"/>
        <w:rPr>
          <w:rFonts w:cstheme="minorHAnsi"/>
          <w:i/>
          <w:lang w:val="ro-MD"/>
        </w:rPr>
      </w:pPr>
      <w:r w:rsidRPr="008B07F9">
        <w:rPr>
          <w:rFonts w:cstheme="minorHAnsi"/>
          <w:i/>
          <w:u w:val="single"/>
          <w:lang w:val="ro-MD"/>
        </w:rPr>
        <w:t xml:space="preserve">6.5 </w:t>
      </w:r>
      <w:r w:rsidR="00F847CE" w:rsidRPr="008B07F9">
        <w:rPr>
          <w:rFonts w:cstheme="minorHAnsi"/>
          <w:i/>
          <w:u w:val="single"/>
          <w:lang w:val="ro-MD"/>
        </w:rPr>
        <w:t>Soluții de construcții</w:t>
      </w:r>
      <w:r w:rsidRPr="008B07F9">
        <w:rPr>
          <w:rFonts w:cstheme="minorHAnsi"/>
          <w:i/>
          <w:u w:val="single"/>
          <w:lang w:val="ro-MD"/>
        </w:rPr>
        <w:tab/>
      </w:r>
      <w:r w:rsidRPr="008B07F9">
        <w:rPr>
          <w:rFonts w:cstheme="minorHAnsi"/>
          <w:i/>
          <w:lang w:val="ro-MD"/>
        </w:rPr>
        <w:t xml:space="preserve">  </w:t>
      </w:r>
    </w:p>
    <w:p w14:paraId="70CEEC87" w14:textId="52443AF1" w:rsidR="008C23AE" w:rsidRPr="008B07F9" w:rsidRDefault="008C23AE" w:rsidP="008C23AE">
      <w:pPr>
        <w:spacing w:after="0"/>
        <w:jc w:val="both"/>
        <w:rPr>
          <w:rFonts w:cstheme="minorHAnsi"/>
          <w:lang w:val="ro-MD"/>
        </w:rPr>
      </w:pPr>
      <w:r w:rsidRPr="008B07F9">
        <w:rPr>
          <w:rFonts w:cstheme="minorHAnsi"/>
          <w:i/>
          <w:u w:val="single"/>
          <w:lang w:val="ro-MD"/>
        </w:rPr>
        <w:t>Date Generale.</w:t>
      </w:r>
      <w:r w:rsidRPr="008B07F9">
        <w:rPr>
          <w:rFonts w:cstheme="minorHAnsi"/>
          <w:i/>
          <w:lang w:val="ro-MD"/>
        </w:rPr>
        <w:t xml:space="preserve"> </w:t>
      </w:r>
      <w:r w:rsidRPr="008B07F9">
        <w:rPr>
          <w:rFonts w:cstheme="minorHAnsi"/>
          <w:lang w:val="ro-MD"/>
        </w:rPr>
        <w:t xml:space="preserve">Caietul de sarcina prevede constructia unei rampe pentru invalizi si a unei copertine la intrarea principala in conformitate cu normele in vigoare. Adâncimea de înghet  este de 0,8 m de la suprafața terenului </w:t>
      </w:r>
      <w:r w:rsidRPr="008B07F9">
        <w:rPr>
          <w:rFonts w:cstheme="minorHAnsi"/>
          <w:lang w:val="ro-MD"/>
        </w:rPr>
        <w:lastRenderedPageBreak/>
        <w:t xml:space="preserve">natural sau sistematizat. Din punct de vedere seismic, în conformitate cu normativul de proiectare antiseismic SNiP-II-7-81* (СТРОИТЕЛЬСТВО В СЕЙСМИЧЕСКИХ РАЙОНАХ СНиП II-7-81*), gradul de intensitate macroseismică al zonei este de 7 grade pe scara MSK. Încarcarea din zapada, conform SNiP 2.01.07-85, valoarea caracteristică a încărcării din zăpadă la sol în amplasamentul construcției este s0,k=0.5 kN/m2. </w:t>
      </w:r>
    </w:p>
    <w:p w14:paraId="634C7696" w14:textId="1E9610F6" w:rsidR="008C23AE" w:rsidRPr="008B07F9" w:rsidRDefault="008C23AE" w:rsidP="008C23AE">
      <w:pPr>
        <w:spacing w:after="0"/>
        <w:jc w:val="both"/>
        <w:rPr>
          <w:rFonts w:cstheme="minorHAnsi"/>
          <w:lang w:val="ro-MD"/>
        </w:rPr>
      </w:pPr>
      <w:r w:rsidRPr="008B07F9">
        <w:rPr>
          <w:rFonts w:cstheme="minorHAnsi"/>
          <w:lang w:val="ro-MD"/>
        </w:rPr>
        <w:t>Încarcarea din vânt, conform SNiP 2.01.07-85, viteza de referință a vântului în amplasamentul construcției, intervalul mediu de recurență este Uref=35 m/s.</w:t>
      </w:r>
    </w:p>
    <w:p w14:paraId="2C22DACF" w14:textId="7E1565EF" w:rsidR="008C23AE" w:rsidRPr="008B07F9" w:rsidRDefault="008C23AE" w:rsidP="008C23AE">
      <w:pPr>
        <w:spacing w:after="0"/>
        <w:jc w:val="both"/>
        <w:rPr>
          <w:rFonts w:cstheme="minorHAnsi"/>
          <w:lang w:val="ro-MD"/>
        </w:rPr>
      </w:pPr>
      <w:r w:rsidRPr="008B07F9">
        <w:rPr>
          <w:rFonts w:cstheme="minorHAnsi"/>
          <w:lang w:val="ro-MD"/>
        </w:rPr>
        <w:t>În conformitate cu Studiul Geotehnic, fundarea construcției proiectate se face direct:</w:t>
      </w:r>
    </w:p>
    <w:p w14:paraId="5030F577" w14:textId="10054FEB" w:rsidR="008C23AE" w:rsidRPr="008B07F9" w:rsidRDefault="008C23AE" w:rsidP="008C23AE">
      <w:pPr>
        <w:spacing w:after="0"/>
        <w:jc w:val="both"/>
        <w:rPr>
          <w:rFonts w:cstheme="minorHAnsi"/>
          <w:lang w:val="ro-MD"/>
        </w:rPr>
      </w:pPr>
      <w:r w:rsidRPr="008B07F9">
        <w:rPr>
          <w:rFonts w:cstheme="minorHAnsi"/>
          <w:lang w:val="ro-MD"/>
        </w:rPr>
        <w:t>•</w:t>
      </w:r>
      <w:r w:rsidRPr="008B07F9">
        <w:rPr>
          <w:rFonts w:cstheme="minorHAnsi"/>
          <w:lang w:val="ro-MD"/>
        </w:rPr>
        <w:tab/>
        <w:t xml:space="preserve">  Săpăturile pentru fundațiile construcției se pot executa mecanizat sau manual. Depozitarea pământului excavat sau a materialelor de construcții se va face la distanțe mai mari de 2,50 m de la marginea săpăturii generale.</w:t>
      </w:r>
    </w:p>
    <w:p w14:paraId="0145ADE7" w14:textId="60F92F2E" w:rsidR="008C23AE" w:rsidRPr="008B07F9" w:rsidRDefault="008C23AE" w:rsidP="008C23AE">
      <w:pPr>
        <w:spacing w:after="0"/>
        <w:jc w:val="both"/>
        <w:rPr>
          <w:rFonts w:cstheme="minorHAnsi"/>
          <w:lang w:val="ro-MD"/>
        </w:rPr>
      </w:pPr>
      <w:r w:rsidRPr="008B07F9">
        <w:rPr>
          <w:rFonts w:cstheme="minorHAnsi"/>
          <w:lang w:val="ro-MD"/>
        </w:rPr>
        <w:t>•</w:t>
      </w:r>
      <w:r w:rsidRPr="008B07F9">
        <w:rPr>
          <w:rFonts w:cstheme="minorHAnsi"/>
          <w:lang w:val="ro-MD"/>
        </w:rPr>
        <w:tab/>
        <w:t xml:space="preserve">  Se va evita orice tendință de sporire a umidității pământului pe durata lucrărilor de săpătură și fundații. Bazele săpăturilor vor fi prevăzute cu pante de scurgere către zone de colectare si evacuare rapidă a eventualelor ape din precipitații. Săpăturile nu se vor lăsa deschise timp îndelungat pentru a nu fi expuse mai multe zile căldurii solare și/sau precipitațiilor (pentru a se conserva starea de umiditate naturală din teren). În acest scop, ultimul strat de săpătură în grosime de 20 cm se va îndepărta manual numai cu putin timp înainte de turnarea betonului de egalizare.</w:t>
      </w:r>
    </w:p>
    <w:p w14:paraId="692D17F6" w14:textId="77777777" w:rsidR="008C23AE" w:rsidRPr="008B07F9" w:rsidRDefault="008C23AE" w:rsidP="008C23AE">
      <w:pPr>
        <w:spacing w:after="0"/>
        <w:jc w:val="both"/>
        <w:rPr>
          <w:rFonts w:cstheme="minorHAnsi"/>
          <w:lang w:val="ro-MD"/>
        </w:rPr>
      </w:pPr>
    </w:p>
    <w:p w14:paraId="01FD162F" w14:textId="36D7A305" w:rsidR="008C23AE" w:rsidRPr="008B07F9" w:rsidRDefault="008C23AE" w:rsidP="008C23AE">
      <w:pPr>
        <w:spacing w:after="0"/>
        <w:jc w:val="both"/>
        <w:rPr>
          <w:rFonts w:cstheme="minorHAnsi"/>
          <w:lang w:val="ro-MD"/>
        </w:rPr>
      </w:pPr>
      <w:r w:rsidRPr="008B07F9">
        <w:rPr>
          <w:rFonts w:cstheme="minorHAnsi"/>
          <w:lang w:val="ro-MD"/>
        </w:rPr>
        <w:t>Fundatiile constructiilor se face în conformitate cu normele geotehnice, depășindu-se astfel adâncimea maximă de îngheț, și anume, la o adâncime de 0,80 m față de cota terenului natural. Acestea se vor executa din beton armat monolit clasa C15.  Placa suport a pardoselii rampei si scarii este din beton armat (C15), cu grosimea de 100 mm și este așezata pe un strat de beton de egalizare clasa C3,5 de 100mm. Timpanul (umplutura de pământ) între terenul natural și stratul de beton de egalizare sa fie foarte bine compactat, în straturi de max. 20 cm grosime, cu maiuri mecanice, plăci vibratoare, etc. Umplutura se va realiza numai din argilă/nisip cu piatra sparta, fiind interzisă folosirea ca material de umplutura a pământului natural cu resturi vegetale sau molozului rezultat din alte lucrări.</w:t>
      </w:r>
    </w:p>
    <w:p w14:paraId="6548B189" w14:textId="77777777" w:rsidR="008C23AE" w:rsidRPr="008B07F9" w:rsidRDefault="008C23AE" w:rsidP="008C23AE">
      <w:pPr>
        <w:spacing w:after="0"/>
        <w:jc w:val="both"/>
        <w:rPr>
          <w:rFonts w:cstheme="minorHAnsi"/>
          <w:lang w:val="ro-MD"/>
        </w:rPr>
      </w:pPr>
    </w:p>
    <w:p w14:paraId="30CFB1E9" w14:textId="77777777" w:rsidR="008C23AE" w:rsidRPr="008B07F9" w:rsidRDefault="008C23AE" w:rsidP="008C23AE">
      <w:pPr>
        <w:spacing w:after="0"/>
        <w:jc w:val="both"/>
        <w:rPr>
          <w:rFonts w:cstheme="minorHAnsi"/>
          <w:lang w:val="ro-MD"/>
        </w:rPr>
      </w:pPr>
      <w:r w:rsidRPr="008B07F9">
        <w:rPr>
          <w:rFonts w:cstheme="minorHAnsi"/>
          <w:lang w:val="ro-MD"/>
        </w:rPr>
        <w:t>Plăcile suport ale pardoselii se vor prevedea cu armare, din plase de armătură Вр-1 diametrul 4 100x100 mm. Structura copertinei la intrarea principala se va executa din metal si anume din tevi profilate. Ca fundatie va dispune de o structura din beton armat monolit formata din grinzi armate la talpa fundatiei, stilpi si grinzi armate la cota -0,050. Conectarea structurii metalice si beton se va face prin betonarea stalpilor de metal in stalpii de beton armat. Acoperisul copertinei va fi tabla profilata pe pane metalice din tevi profilate.</w:t>
      </w:r>
    </w:p>
    <w:p w14:paraId="2AE8F9A8" w14:textId="77777777" w:rsidR="008C23AE" w:rsidRPr="008B07F9" w:rsidRDefault="008C23AE" w:rsidP="008C23AE">
      <w:pPr>
        <w:spacing w:after="0"/>
        <w:jc w:val="both"/>
        <w:rPr>
          <w:rFonts w:cstheme="minorHAnsi"/>
          <w:i/>
          <w:lang w:val="ro-MD"/>
        </w:rPr>
      </w:pPr>
    </w:p>
    <w:p w14:paraId="62CBD28A" w14:textId="40AC065C" w:rsidR="008C23AE" w:rsidRPr="008B07F9" w:rsidRDefault="008C23AE" w:rsidP="008C23AE">
      <w:pPr>
        <w:spacing w:after="0"/>
        <w:jc w:val="both"/>
        <w:rPr>
          <w:rFonts w:cstheme="minorHAnsi"/>
          <w:lang w:val="ro-MD"/>
        </w:rPr>
      </w:pPr>
      <w:r w:rsidRPr="008B07F9">
        <w:rPr>
          <w:rFonts w:cstheme="minorHAnsi"/>
          <w:i/>
          <w:u w:val="single"/>
          <w:lang w:val="ro-MD"/>
        </w:rPr>
        <w:t xml:space="preserve">Materiale utilizate </w:t>
      </w:r>
      <w:r w:rsidRPr="008B07F9">
        <w:rPr>
          <w:rFonts w:cstheme="minorHAnsi"/>
          <w:lang w:val="ro-MD"/>
        </w:rPr>
        <w:t>La realizarea structurii  se vor folosi materiale obișnuite, utilizate în mod curent la acest tip de construcții. Materialele principale sunt următoarele :</w:t>
      </w:r>
    </w:p>
    <w:p w14:paraId="4058F198" w14:textId="77777777" w:rsidR="008C23AE" w:rsidRPr="008B07F9" w:rsidRDefault="008C23AE" w:rsidP="008C23AE">
      <w:pPr>
        <w:spacing w:after="0"/>
        <w:jc w:val="both"/>
        <w:rPr>
          <w:rFonts w:cstheme="minorHAnsi"/>
          <w:lang w:val="ro-MD"/>
        </w:rPr>
      </w:pPr>
    </w:p>
    <w:p w14:paraId="2F39188E" w14:textId="77777777" w:rsidR="008C23AE" w:rsidRPr="008B07F9" w:rsidRDefault="008C23AE" w:rsidP="008C23AE">
      <w:pPr>
        <w:spacing w:after="0"/>
        <w:jc w:val="both"/>
        <w:rPr>
          <w:rFonts w:cstheme="minorHAnsi"/>
          <w:lang w:val="ro-MD"/>
        </w:rPr>
      </w:pPr>
      <w:r w:rsidRPr="008B07F9">
        <w:rPr>
          <w:rFonts w:cstheme="minorHAnsi"/>
          <w:lang w:val="ro-MD"/>
        </w:rPr>
        <w:t>Betoane :</w:t>
      </w:r>
    </w:p>
    <w:p w14:paraId="3C6FCC3D" w14:textId="77777777" w:rsidR="008C23AE" w:rsidRPr="008B07F9" w:rsidRDefault="008C23AE" w:rsidP="008C23AE">
      <w:pPr>
        <w:spacing w:after="0"/>
        <w:jc w:val="both"/>
        <w:rPr>
          <w:rFonts w:cstheme="minorHAnsi"/>
          <w:lang w:val="ro-MD"/>
        </w:rPr>
      </w:pPr>
    </w:p>
    <w:p w14:paraId="27FB1308" w14:textId="77777777" w:rsidR="008C23AE" w:rsidRPr="008B07F9" w:rsidRDefault="008C23AE" w:rsidP="008C23AE">
      <w:pPr>
        <w:spacing w:after="0"/>
        <w:jc w:val="both"/>
        <w:rPr>
          <w:rFonts w:cstheme="minorHAnsi"/>
          <w:lang w:val="ro-MD"/>
        </w:rPr>
      </w:pPr>
      <w:r w:rsidRPr="008B07F9">
        <w:rPr>
          <w:rFonts w:cstheme="minorHAnsi"/>
          <w:lang w:val="ro-MD"/>
        </w:rPr>
        <w:t>C 3,5 – patul de beton de egalizare</w:t>
      </w:r>
    </w:p>
    <w:p w14:paraId="6615EFB2" w14:textId="77777777" w:rsidR="008C23AE" w:rsidRPr="008B07F9" w:rsidRDefault="008C23AE" w:rsidP="008C23AE">
      <w:pPr>
        <w:spacing w:after="0"/>
        <w:jc w:val="both"/>
        <w:rPr>
          <w:rFonts w:cstheme="minorHAnsi"/>
          <w:lang w:val="ro-MD"/>
        </w:rPr>
      </w:pPr>
      <w:r w:rsidRPr="008B07F9">
        <w:rPr>
          <w:rFonts w:cstheme="minorHAnsi"/>
          <w:lang w:val="ro-MD"/>
        </w:rPr>
        <w:t>C 15 – pereti si placa pardoselii.</w:t>
      </w:r>
    </w:p>
    <w:p w14:paraId="72997F0A" w14:textId="77777777" w:rsidR="008C23AE" w:rsidRPr="008B07F9" w:rsidRDefault="008C23AE" w:rsidP="008C23AE">
      <w:pPr>
        <w:spacing w:after="0"/>
        <w:jc w:val="both"/>
        <w:rPr>
          <w:rFonts w:cstheme="minorHAnsi"/>
          <w:lang w:val="ro-MD"/>
        </w:rPr>
      </w:pPr>
    </w:p>
    <w:p w14:paraId="05AB9ABF" w14:textId="77777777" w:rsidR="008C23AE" w:rsidRPr="008B07F9" w:rsidRDefault="008C23AE" w:rsidP="008C23AE">
      <w:pPr>
        <w:spacing w:after="0"/>
        <w:jc w:val="both"/>
        <w:rPr>
          <w:rFonts w:cstheme="minorHAnsi"/>
          <w:lang w:val="ro-MD"/>
        </w:rPr>
      </w:pPr>
      <w:r w:rsidRPr="008B07F9">
        <w:rPr>
          <w:rFonts w:cstheme="minorHAnsi"/>
          <w:lang w:val="ro-MD"/>
        </w:rPr>
        <w:t>Oțel-beton :</w:t>
      </w:r>
    </w:p>
    <w:p w14:paraId="235C4B75" w14:textId="77777777" w:rsidR="008C23AE" w:rsidRPr="008B07F9" w:rsidRDefault="008C23AE" w:rsidP="008C23AE">
      <w:pPr>
        <w:spacing w:after="0"/>
        <w:jc w:val="both"/>
        <w:rPr>
          <w:rFonts w:cstheme="minorHAnsi"/>
          <w:lang w:val="ro-MD"/>
        </w:rPr>
      </w:pPr>
    </w:p>
    <w:p w14:paraId="26C79894" w14:textId="77777777" w:rsidR="008C23AE" w:rsidRPr="008B07F9" w:rsidRDefault="008C23AE" w:rsidP="008C23AE">
      <w:pPr>
        <w:spacing w:after="0"/>
        <w:jc w:val="both"/>
        <w:rPr>
          <w:rFonts w:cstheme="minorHAnsi"/>
          <w:lang w:val="ro-MD"/>
        </w:rPr>
      </w:pPr>
      <w:r w:rsidRPr="008B07F9">
        <w:rPr>
          <w:rFonts w:cstheme="minorHAnsi"/>
          <w:lang w:val="ro-MD"/>
        </w:rPr>
        <w:t>Clasa A 240 - la armăturile de rezistență transversale, la armăturile constructive și de montaj</w:t>
      </w:r>
    </w:p>
    <w:p w14:paraId="52352DC5" w14:textId="77777777" w:rsidR="008C23AE" w:rsidRPr="008B07F9" w:rsidRDefault="008C23AE" w:rsidP="008C23AE">
      <w:pPr>
        <w:spacing w:after="0"/>
        <w:jc w:val="both"/>
        <w:rPr>
          <w:rFonts w:cstheme="minorHAnsi"/>
          <w:lang w:val="ro-MD"/>
        </w:rPr>
      </w:pPr>
      <w:r w:rsidRPr="008B07F9">
        <w:rPr>
          <w:rFonts w:cstheme="minorHAnsi"/>
          <w:lang w:val="ro-MD"/>
        </w:rPr>
        <w:t xml:space="preserve">Clasa A 400 - la armăturile de rezistență longitudinale rezultate din calcul sau pe baza procentelor minime de armare. </w:t>
      </w:r>
    </w:p>
    <w:p w14:paraId="5D29CDC2" w14:textId="77777777" w:rsidR="008C23AE" w:rsidRPr="008B07F9" w:rsidRDefault="008C23AE" w:rsidP="008C23AE">
      <w:pPr>
        <w:spacing w:after="0"/>
        <w:jc w:val="both"/>
        <w:rPr>
          <w:rFonts w:cstheme="minorHAnsi"/>
          <w:lang w:val="ro-MD"/>
        </w:rPr>
      </w:pPr>
    </w:p>
    <w:p w14:paraId="27C77A99" w14:textId="77777777" w:rsidR="008C23AE" w:rsidRPr="008B07F9" w:rsidRDefault="008C23AE" w:rsidP="008C23AE">
      <w:pPr>
        <w:spacing w:after="0"/>
        <w:jc w:val="both"/>
        <w:rPr>
          <w:rFonts w:cstheme="minorHAnsi"/>
          <w:lang w:val="ro-MD"/>
        </w:rPr>
      </w:pPr>
      <w:r w:rsidRPr="008B07F9">
        <w:rPr>
          <w:rFonts w:cstheme="minorHAnsi"/>
          <w:lang w:val="ro-MD"/>
        </w:rPr>
        <w:lastRenderedPageBreak/>
        <w:t>Oțel laminat :</w:t>
      </w:r>
    </w:p>
    <w:p w14:paraId="2AB7015F" w14:textId="77777777" w:rsidR="008C23AE" w:rsidRPr="008B07F9" w:rsidRDefault="008C23AE" w:rsidP="008C23AE">
      <w:pPr>
        <w:spacing w:after="0"/>
        <w:jc w:val="both"/>
        <w:rPr>
          <w:rFonts w:cstheme="minorHAnsi"/>
          <w:lang w:val="ro-MD"/>
        </w:rPr>
      </w:pPr>
    </w:p>
    <w:p w14:paraId="5AA577C4" w14:textId="4F8A3BB5" w:rsidR="008C23AE" w:rsidRPr="008B07F9" w:rsidRDefault="008C23AE" w:rsidP="008C23AE">
      <w:pPr>
        <w:spacing w:after="0"/>
        <w:jc w:val="both"/>
        <w:rPr>
          <w:rFonts w:cstheme="minorHAnsi"/>
          <w:lang w:val="ro-MD"/>
        </w:rPr>
      </w:pPr>
      <w:r w:rsidRPr="008B07F9">
        <w:rPr>
          <w:rFonts w:cstheme="minorHAnsi"/>
          <w:lang w:val="ro-MD"/>
        </w:rPr>
        <w:t>Elementele din metal se vor confecționa din oțel de clasa C-235, conform GOST 30245-94.  Laminatele din oțel trebuie sa fie însoțite de certificate de calitate uzinale și să fie marcate de către uzina producătoare. Întreprinderea de uzinare a pieselor și sub-ansamblelor metalice trebuie să verifice corespondența dintre datele cuprinse în certificatele de calitate.</w:t>
      </w:r>
    </w:p>
    <w:p w14:paraId="18F089A0" w14:textId="77777777" w:rsidR="008C23AE" w:rsidRPr="008B07F9" w:rsidRDefault="008C23AE" w:rsidP="008C23AE">
      <w:pPr>
        <w:spacing w:after="0"/>
        <w:jc w:val="both"/>
        <w:rPr>
          <w:rFonts w:cstheme="minorHAnsi"/>
          <w:i/>
          <w:lang w:val="ro-MD"/>
        </w:rPr>
      </w:pPr>
    </w:p>
    <w:p w14:paraId="1173B9AA" w14:textId="0D62B607" w:rsidR="008C23AE" w:rsidRPr="008B07F9" w:rsidRDefault="008C23AE" w:rsidP="008C23AE">
      <w:pPr>
        <w:spacing w:after="0"/>
        <w:jc w:val="both"/>
        <w:rPr>
          <w:rFonts w:cstheme="minorHAnsi"/>
          <w:i/>
          <w:lang w:val="ro-MD"/>
        </w:rPr>
      </w:pPr>
      <w:r w:rsidRPr="008B07F9">
        <w:rPr>
          <w:rFonts w:cstheme="minorHAnsi"/>
          <w:i/>
          <w:u w:val="single"/>
          <w:lang w:val="ro-MD"/>
        </w:rPr>
        <w:t>6.6 Rețele de Apeduct și Canalizare</w:t>
      </w:r>
    </w:p>
    <w:p w14:paraId="79A1BBF4" w14:textId="189E36A1" w:rsidR="008C23AE" w:rsidRPr="008B07F9" w:rsidRDefault="008C23AE" w:rsidP="008C23AE">
      <w:pPr>
        <w:spacing w:after="0"/>
        <w:jc w:val="both"/>
        <w:rPr>
          <w:rFonts w:cstheme="minorHAnsi"/>
          <w:i/>
          <w:lang w:val="ro-MD"/>
        </w:rPr>
      </w:pPr>
      <w:r w:rsidRPr="008B07F9">
        <w:rPr>
          <w:rFonts w:cstheme="minorHAnsi"/>
          <w:i/>
          <w:u w:val="single"/>
          <w:lang w:val="ro-MD"/>
        </w:rPr>
        <w:t>Sistem interior de apă.</w:t>
      </w:r>
      <w:r w:rsidRPr="008B07F9">
        <w:rPr>
          <w:rFonts w:cstheme="minorHAnsi"/>
          <w:i/>
          <w:lang w:val="ro-MD"/>
        </w:rPr>
        <w:t xml:space="preserve"> </w:t>
      </w:r>
      <w:r w:rsidRPr="008B07F9">
        <w:rPr>
          <w:rFonts w:cstheme="minorHAnsi"/>
          <w:lang w:val="ro-MD"/>
        </w:rPr>
        <w:t>Încăperile centrului de Tineret se află în clădirea care deja este conectată la rețelile de apeduct și canalizare. Proiectul rețelelor de apeduct și canalizare prevede conectarea obiectelor sanitare noi la rețelile existente de apă și canalizare. Alimentarea cu apă rece a locurilor de consum noi se va face prin intermediul branşamentului proiectat, branşament din ţevi de polietilenă cu diametrul de 25 mm. Conductele de apă rece  se vor monta sub planșeul dintre parter și subsol, ridicarea coloanelor verticale în locurile de conectare cu obiectele sanitare şi se vor executa din polipropilenă -</w:t>
      </w:r>
      <w:r w:rsidR="00E246AE" w:rsidRPr="008B07F9">
        <w:rPr>
          <w:rFonts w:cstheme="minorHAnsi"/>
          <w:lang w:val="ro-MD"/>
        </w:rPr>
        <w:t xml:space="preserve"> </w:t>
      </w:r>
      <w:r w:rsidRPr="008B07F9">
        <w:rPr>
          <w:rFonts w:cstheme="minorHAnsi"/>
          <w:lang w:val="ro-MD"/>
        </w:rPr>
        <w:t>PPR, pentru apa rece. Conductele de distribuţie se vor izola termic cu grosimea izolaţiei de minim echivalent diametrul conductei. Panta minimă a conductelor de apă va fi de 0,005 în sens contrar curgeri apei reci, astfel se asigură golirea conductei. Înainte de orice consumator de apă se vor prevedea robineţi de izolare, pentru intervenţie. La trecerile conductelor prin pereţi se vor monta tuburi de protecţie, golurile vor fi protejate cu materiale cu rezistenţă  la foc corespunzătoare categoriei de rezistență la foc de  gradul II a clădirii. Susţinerea conductelor de apă se va face cu brăţări sau console încastrate în pereţi sau alte elemente de rezistenţă, sau pe suportul metalic comun cu celelalte conducte asigurând pantele indicate pe planuri. La terminarea lucrărilor se va efectua proba de presiune la valoarea de 6 bar, timp de 2 ore.</w:t>
      </w:r>
    </w:p>
    <w:p w14:paraId="4CB4785A" w14:textId="77777777" w:rsidR="008C23AE" w:rsidRPr="008B07F9" w:rsidRDefault="008C23AE" w:rsidP="008C23AE">
      <w:pPr>
        <w:spacing w:after="0"/>
        <w:jc w:val="both"/>
        <w:rPr>
          <w:rFonts w:cstheme="minorHAnsi"/>
          <w:i/>
          <w:lang w:val="ro-MD"/>
        </w:rPr>
      </w:pPr>
    </w:p>
    <w:p w14:paraId="7298C558" w14:textId="6491179D" w:rsidR="008C23AE" w:rsidRPr="008B07F9" w:rsidRDefault="008C23AE" w:rsidP="008C23AE">
      <w:pPr>
        <w:spacing w:after="0"/>
        <w:jc w:val="both"/>
        <w:rPr>
          <w:rFonts w:cstheme="minorHAnsi"/>
          <w:i/>
          <w:lang w:val="ro-MD"/>
        </w:rPr>
      </w:pPr>
      <w:r w:rsidRPr="008B07F9">
        <w:rPr>
          <w:rFonts w:cstheme="minorHAnsi"/>
          <w:i/>
          <w:u w:val="single"/>
          <w:lang w:val="ro-MD"/>
        </w:rPr>
        <w:t xml:space="preserve">Sistem de canalizare interioară. </w:t>
      </w:r>
      <w:r w:rsidRPr="008B07F9">
        <w:rPr>
          <w:rFonts w:cstheme="minorHAnsi"/>
          <w:lang w:val="ro-MD"/>
        </w:rPr>
        <w:t>Sistemul de canalizare va fi construit în ipoteza racordării la rețeaua de canalizare existentă din interiorul clădirii. Sistemul de canalizare şi racordul la reţeaua de canalizare se vor efectua din tub de PP cu Ø50 şi Ø100. Coloanele de canalizare se vor prelungi cu coloane de ventilaţie care vor fi încălţate cu căciuli de ventilare deasupra şarpantei. În locurie unde nu este posibilă prelungirea coloanelor de ventilare,vor fi instalate clapete de aerisire egala cu diametrul coloanei de canalizare. Vasele de WC se vor racorda la coloana de canalizare deasupra planşeului. Lavuarele,chiuvetele se vor racorda iniţial la un sifon după care la reţeaua de canalizare.</w:t>
      </w:r>
      <w:r w:rsidRPr="008B07F9">
        <w:rPr>
          <w:rFonts w:cstheme="minorHAnsi"/>
          <w:i/>
          <w:lang w:val="ro-MD"/>
        </w:rPr>
        <w:t xml:space="preserve"> </w:t>
      </w:r>
    </w:p>
    <w:p w14:paraId="69D7A4B2" w14:textId="77777777" w:rsidR="008C23AE" w:rsidRPr="008B07F9" w:rsidRDefault="008C23AE" w:rsidP="008C23AE">
      <w:pPr>
        <w:spacing w:after="0"/>
        <w:jc w:val="both"/>
        <w:rPr>
          <w:rFonts w:cstheme="minorHAnsi"/>
          <w:i/>
          <w:lang w:val="ro-MD"/>
        </w:rPr>
      </w:pPr>
    </w:p>
    <w:p w14:paraId="7ADB0696" w14:textId="2CAF4E64" w:rsidR="008C23AE" w:rsidRPr="008B07F9" w:rsidRDefault="00453F73" w:rsidP="008C23AE">
      <w:pPr>
        <w:spacing w:after="0"/>
        <w:jc w:val="both"/>
        <w:rPr>
          <w:rFonts w:cstheme="minorHAnsi"/>
          <w:i/>
          <w:lang w:val="ro-MD"/>
        </w:rPr>
      </w:pPr>
      <w:r w:rsidRPr="008B07F9">
        <w:rPr>
          <w:rFonts w:cstheme="minorHAnsi"/>
          <w:i/>
          <w:u w:val="single"/>
          <w:lang w:val="ro-MD"/>
        </w:rPr>
        <w:t xml:space="preserve">6.7 </w:t>
      </w:r>
      <w:r w:rsidR="008C23AE" w:rsidRPr="008B07F9">
        <w:rPr>
          <w:rFonts w:cstheme="minorHAnsi"/>
          <w:i/>
          <w:u w:val="single"/>
          <w:lang w:val="ro-MD"/>
        </w:rPr>
        <w:t>Echipamentul electric de forță/ Iluminatul electric interior</w:t>
      </w:r>
    </w:p>
    <w:p w14:paraId="2EE58842" w14:textId="77777777" w:rsidR="00E16FD6" w:rsidRPr="008B07F9" w:rsidRDefault="008C23AE" w:rsidP="008C23AE">
      <w:pPr>
        <w:spacing w:after="0"/>
        <w:jc w:val="both"/>
        <w:rPr>
          <w:rFonts w:cstheme="minorHAnsi"/>
          <w:lang w:val="ro-MD"/>
        </w:rPr>
      </w:pPr>
      <w:r w:rsidRPr="008B07F9">
        <w:rPr>
          <w:rFonts w:cstheme="minorHAnsi"/>
          <w:lang w:val="ro-MD"/>
        </w:rPr>
        <w:t>Sistemul de electricitate este conceput pentru un sistem</w:t>
      </w:r>
      <w:r w:rsidR="00E246AE" w:rsidRPr="008B07F9">
        <w:rPr>
          <w:rFonts w:cstheme="minorHAnsi"/>
          <w:lang w:val="ro-MD"/>
        </w:rPr>
        <w:t xml:space="preserve"> de tensiune de 380/220 V cu un </w:t>
      </w:r>
      <w:r w:rsidRPr="008B07F9">
        <w:rPr>
          <w:rFonts w:cstheme="minorHAnsi"/>
          <w:lang w:val="ro-MD"/>
        </w:rPr>
        <w:t>neutru solid împământat. Conform cerințelor privind fiabilitatea sursei de alimentare, receptoarele electrice ale clădirii aparțin în principal categoriei III. Iluminat de evacuare - aparține categoriei l. Corpurile de iluminat de urgență sunt conectate de la un panou de iluminat de urgență separat. Tabloul de iluminat de urgență este alime</w:t>
      </w:r>
      <w:r w:rsidR="00E246AE" w:rsidRPr="008B07F9">
        <w:rPr>
          <w:rFonts w:cstheme="minorHAnsi"/>
          <w:lang w:val="ro-MD"/>
        </w:rPr>
        <w:t>ntat de o linie separată de pre</w:t>
      </w:r>
      <w:r w:rsidRPr="008B07F9">
        <w:rPr>
          <w:rFonts w:cstheme="minorHAnsi"/>
          <w:lang w:val="ro-MD"/>
        </w:rPr>
        <w:t>setupa. Alimentarea cu energie electrică a panoului electric proiectat al parterului PD este asigurată de o linie de cablu de la panoul de măsurare existent situat în parter. Clientul trebuie să revizuiască sistemul de bază de egalizare a potențialului și să îl alinieze. Consumatori de energie: iluminat, echipamente tehnologice și echipamente pentru sisteme de curent redus. Lămpile cu LED sunt utilizate ca surse de lumină. Tipurile de corpuri de iluminat sunt selectate în funcție de condițiile de mediu, clasa zonelor periculoase de incendiu din incintă și cantitatea de iluminare conform NCM C.04.02: 2017. Cablarea se face cu cablul VVGng (A) -HFLTx. Liniile sunt așezate într-o conductă de cablu din plastic sub tavan</w:t>
      </w:r>
      <w:r w:rsidR="00E16FD6" w:rsidRPr="008B07F9">
        <w:rPr>
          <w:rFonts w:cstheme="minorHAnsi"/>
          <w:lang w:val="ro-MD"/>
        </w:rPr>
        <w:t>.</w:t>
      </w:r>
      <w:r w:rsidRPr="008B07F9">
        <w:rPr>
          <w:rFonts w:cstheme="minorHAnsi"/>
          <w:lang w:val="ro-MD"/>
        </w:rPr>
        <w:t xml:space="preserve"> Coborârile liniilor de g</w:t>
      </w:r>
      <w:r w:rsidR="00E16FD6" w:rsidRPr="008B07F9">
        <w:rPr>
          <w:rFonts w:cstheme="minorHAnsi"/>
          <w:lang w:val="ro-MD"/>
        </w:rPr>
        <w:t>rup către prize și co</w:t>
      </w:r>
      <w:r w:rsidRPr="008B07F9">
        <w:rPr>
          <w:rFonts w:cstheme="minorHAnsi"/>
          <w:lang w:val="ro-MD"/>
        </w:rPr>
        <w:t>mutatoare</w:t>
      </w:r>
      <w:r w:rsidR="00E16FD6" w:rsidRPr="008B07F9">
        <w:rPr>
          <w:rFonts w:cstheme="minorHAnsi"/>
          <w:lang w:val="ro-MD"/>
        </w:rPr>
        <w:t>le</w:t>
      </w:r>
      <w:r w:rsidRPr="008B07F9">
        <w:rPr>
          <w:rFonts w:cstheme="minorHAnsi"/>
          <w:lang w:val="ro-MD"/>
        </w:rPr>
        <w:t xml:space="preserve"> sunt așezate în țevi ondulate într-o canelură sub tencuială. Soclurile și între-rupătoarele de lumină sunt selectate pentru instalare ascunsă, IP 20.  </w:t>
      </w:r>
    </w:p>
    <w:p w14:paraId="0F0BEEE9" w14:textId="77777777" w:rsidR="00E16FD6" w:rsidRPr="008B07F9" w:rsidRDefault="00E16FD6" w:rsidP="008C23AE">
      <w:pPr>
        <w:spacing w:after="0"/>
        <w:jc w:val="both"/>
        <w:rPr>
          <w:rFonts w:cstheme="minorHAnsi"/>
          <w:lang w:val="ro-MD"/>
        </w:rPr>
      </w:pPr>
    </w:p>
    <w:p w14:paraId="700F7E2F" w14:textId="36A9115D" w:rsidR="008C23AE" w:rsidRPr="008B07F9" w:rsidRDefault="008C23AE" w:rsidP="008C23AE">
      <w:pPr>
        <w:spacing w:after="0"/>
        <w:jc w:val="both"/>
        <w:rPr>
          <w:rFonts w:cstheme="minorHAnsi"/>
          <w:lang w:val="ro-MD"/>
        </w:rPr>
      </w:pPr>
      <w:r w:rsidRPr="008B07F9">
        <w:rPr>
          <w:rFonts w:cstheme="minorHAnsi"/>
          <w:i/>
          <w:lang w:val="ro-MD"/>
        </w:rPr>
        <w:lastRenderedPageBreak/>
        <w:t>Împământare și măsuri de protecție</w:t>
      </w:r>
      <w:r w:rsidRPr="008B07F9">
        <w:rPr>
          <w:rFonts w:cstheme="minorHAnsi"/>
          <w:lang w:val="ro-MD"/>
        </w:rPr>
        <w:t>. Toate părțile conductoare expuse ale echipamentelor electrice sunt supuse la zero prin conectarea la conductorul PE în conformitate cu PUE. Proiectul a adoptat un sistem de împământare de tip TN-C-S. Separarea conductorului PEN în PE și N se face în tabloul PD. Clientul trebuie să conecteze conductorul PE la bucla de împământare externă existentă.</w:t>
      </w:r>
    </w:p>
    <w:p w14:paraId="1D68D2A1" w14:textId="77777777" w:rsidR="008C23AE" w:rsidRPr="008B07F9" w:rsidRDefault="008C23AE" w:rsidP="008C23AE">
      <w:pPr>
        <w:spacing w:after="0"/>
        <w:jc w:val="both"/>
        <w:rPr>
          <w:rFonts w:cstheme="minorHAnsi"/>
          <w:i/>
          <w:lang w:val="ro-MD"/>
        </w:rPr>
      </w:pPr>
    </w:p>
    <w:p w14:paraId="17919A86" w14:textId="4A1FDFF0" w:rsidR="008C23AE" w:rsidRPr="008B07F9" w:rsidRDefault="00453F73" w:rsidP="008C23AE">
      <w:pPr>
        <w:spacing w:after="0"/>
        <w:jc w:val="both"/>
        <w:rPr>
          <w:rFonts w:cstheme="minorHAnsi"/>
          <w:i/>
          <w:lang w:val="ro-MD"/>
        </w:rPr>
      </w:pPr>
      <w:r w:rsidRPr="008B07F9">
        <w:rPr>
          <w:rFonts w:cstheme="minorHAnsi"/>
          <w:i/>
          <w:u w:val="single"/>
          <w:lang w:val="ro-MD"/>
        </w:rPr>
        <w:t xml:space="preserve">6.8 </w:t>
      </w:r>
      <w:r w:rsidR="008C23AE" w:rsidRPr="008B07F9">
        <w:rPr>
          <w:rFonts w:cstheme="minorHAnsi"/>
          <w:i/>
          <w:u w:val="single"/>
          <w:lang w:val="ro-MD"/>
        </w:rPr>
        <w:t>Rețele de Telecomunicații și de Semnalizare</w:t>
      </w:r>
    </w:p>
    <w:p w14:paraId="3E162F82" w14:textId="6E049724" w:rsidR="008C23AE" w:rsidRPr="008B07F9" w:rsidRDefault="008C23AE" w:rsidP="008C23AE">
      <w:pPr>
        <w:spacing w:after="0"/>
        <w:jc w:val="both"/>
        <w:rPr>
          <w:rFonts w:cstheme="minorHAnsi"/>
          <w:lang w:val="ro-MD"/>
        </w:rPr>
      </w:pPr>
      <w:r w:rsidRPr="008B07F9">
        <w:rPr>
          <w:rFonts w:cstheme="minorHAnsi"/>
          <w:lang w:val="ro-MD"/>
        </w:rPr>
        <w:t>Acest compartiment (TS - Comunicatiile telefonice și de semnalizare) prevede dezvoltarea unui sistem de apelare a personalului în baie, instalarea de balize sonore la intrarea pentru persoanele cu deficiențe de vedere și instalarea unei alarme de sonerie.</w:t>
      </w:r>
      <w:r w:rsidRPr="008B07F9">
        <w:rPr>
          <w:rFonts w:cstheme="minorHAnsi"/>
          <w:lang w:val="ro-MD"/>
        </w:rPr>
        <w:cr/>
      </w:r>
    </w:p>
    <w:p w14:paraId="7429636B" w14:textId="64D85BB4" w:rsidR="008C23AE" w:rsidRPr="008B07F9" w:rsidRDefault="008C23AE" w:rsidP="008C23AE">
      <w:pPr>
        <w:spacing w:after="0"/>
        <w:jc w:val="both"/>
        <w:rPr>
          <w:rFonts w:cstheme="minorHAnsi"/>
          <w:lang w:val="ro-MD"/>
        </w:rPr>
      </w:pPr>
      <w:r w:rsidRPr="008B07F9">
        <w:rPr>
          <w:rFonts w:cstheme="minorHAnsi"/>
          <w:i/>
          <w:u w:val="single"/>
          <w:lang w:val="ro-MD"/>
        </w:rPr>
        <w:t>Sistem de apelare a personalului în baie</w:t>
      </w:r>
      <w:r w:rsidRPr="008B07F9">
        <w:rPr>
          <w:rFonts w:cstheme="minorHAnsi"/>
          <w:i/>
          <w:lang w:val="ro-MD"/>
        </w:rPr>
        <w:t xml:space="preserve">. </w:t>
      </w:r>
      <w:r w:rsidRPr="008B07F9">
        <w:rPr>
          <w:rFonts w:cstheme="minorHAnsi"/>
          <w:lang w:val="ro-MD"/>
        </w:rPr>
        <w:t>Acest sistem efectuează un apel, atrăgând atenția și răspunsul prompt al personalului pentru a oferi asistență p</w:t>
      </w:r>
      <w:r w:rsidR="00E16FD6" w:rsidRPr="008B07F9">
        <w:rPr>
          <w:rFonts w:cstheme="minorHAnsi"/>
          <w:lang w:val="ro-MD"/>
        </w:rPr>
        <w:t>ersoanelor cu dizabilități. Sis</w:t>
      </w:r>
      <w:r w:rsidRPr="008B07F9">
        <w:rPr>
          <w:rFonts w:cstheme="minorHAnsi"/>
          <w:lang w:val="ro-MD"/>
        </w:rPr>
        <w:t>temul este instalat în baia si prevede:</w:t>
      </w:r>
    </w:p>
    <w:p w14:paraId="72D7EDDD" w14:textId="77777777" w:rsidR="008C23AE" w:rsidRPr="008B07F9" w:rsidRDefault="008C23AE" w:rsidP="008C23AE">
      <w:pPr>
        <w:spacing w:after="0"/>
        <w:jc w:val="both"/>
        <w:rPr>
          <w:rFonts w:cstheme="minorHAnsi"/>
          <w:lang w:val="ro-MD"/>
        </w:rPr>
      </w:pPr>
      <w:r w:rsidRPr="008B07F9">
        <w:rPr>
          <w:rFonts w:cstheme="minorHAnsi"/>
          <w:lang w:val="ro-MD"/>
        </w:rPr>
        <w:t>- 1 buton de apel impermeabil cu fir cu un cablu în baie;</w:t>
      </w:r>
    </w:p>
    <w:p w14:paraId="60CD2A00" w14:textId="77777777" w:rsidR="008C23AE" w:rsidRPr="008B07F9" w:rsidRDefault="008C23AE" w:rsidP="008C23AE">
      <w:pPr>
        <w:spacing w:after="0"/>
        <w:jc w:val="both"/>
        <w:rPr>
          <w:rFonts w:cstheme="minorHAnsi"/>
          <w:lang w:val="ro-MD"/>
        </w:rPr>
      </w:pPr>
      <w:r w:rsidRPr="008B07F9">
        <w:rPr>
          <w:rFonts w:cstheme="minorHAnsi"/>
          <w:lang w:val="ro-MD"/>
        </w:rPr>
        <w:t>- 1 buton de resetare pe coridorul din apropierea ușii;</w:t>
      </w:r>
    </w:p>
    <w:p w14:paraId="39D11F70" w14:textId="77777777" w:rsidR="008C23AE" w:rsidRPr="008B07F9" w:rsidRDefault="008C23AE" w:rsidP="008C23AE">
      <w:pPr>
        <w:spacing w:after="0"/>
        <w:jc w:val="both"/>
        <w:rPr>
          <w:rFonts w:cstheme="minorHAnsi"/>
          <w:lang w:val="ro-MD"/>
        </w:rPr>
      </w:pPr>
      <w:r w:rsidRPr="008B07F9">
        <w:rPr>
          <w:rFonts w:cstheme="minorHAnsi"/>
          <w:lang w:val="ro-MD"/>
        </w:rPr>
        <w:t>- 1 lampă de semnalizare pe coridorul de deasupra ușii;</w:t>
      </w:r>
    </w:p>
    <w:p w14:paraId="26AFD292" w14:textId="77777777" w:rsidR="008C23AE" w:rsidRPr="008B07F9" w:rsidRDefault="008C23AE" w:rsidP="008C23AE">
      <w:pPr>
        <w:spacing w:after="0"/>
        <w:jc w:val="both"/>
        <w:rPr>
          <w:rFonts w:cstheme="minorHAnsi"/>
          <w:lang w:val="ro-MD"/>
        </w:rPr>
      </w:pPr>
      <w:r w:rsidRPr="008B07F9">
        <w:rPr>
          <w:rFonts w:cstheme="minorHAnsi"/>
          <w:lang w:val="ro-MD"/>
        </w:rPr>
        <w:t>- 1 controler pentru procesarea semnalului.</w:t>
      </w:r>
    </w:p>
    <w:p w14:paraId="422DFE6F" w14:textId="77777777" w:rsidR="008C23AE" w:rsidRPr="008B07F9" w:rsidRDefault="008C23AE" w:rsidP="008C23AE">
      <w:pPr>
        <w:spacing w:after="0"/>
        <w:jc w:val="both"/>
        <w:rPr>
          <w:rFonts w:cstheme="minorHAnsi"/>
          <w:i/>
          <w:lang w:val="ro-MD"/>
        </w:rPr>
      </w:pPr>
    </w:p>
    <w:p w14:paraId="7986C887" w14:textId="31803100" w:rsidR="008C23AE" w:rsidRPr="008B07F9" w:rsidRDefault="008C23AE" w:rsidP="008C23AE">
      <w:pPr>
        <w:spacing w:after="0"/>
        <w:jc w:val="both"/>
        <w:rPr>
          <w:rFonts w:cstheme="minorHAnsi"/>
          <w:lang w:val="ro-MD"/>
        </w:rPr>
      </w:pPr>
      <w:r w:rsidRPr="008B07F9">
        <w:rPr>
          <w:rFonts w:cstheme="minorHAnsi"/>
          <w:lang w:val="ro-MD"/>
        </w:rPr>
        <w:t>Controlerul este alimentat de la sursa de alimentare PS2 situată lângă controler. Linia de alimentare de la sursă la controler este realizată cu un cablu -</w:t>
      </w:r>
      <w:r w:rsidR="00E16FD6" w:rsidRPr="008B07F9">
        <w:rPr>
          <w:rFonts w:cstheme="minorHAnsi"/>
          <w:lang w:val="ro-MD"/>
        </w:rPr>
        <w:t xml:space="preserve"> </w:t>
      </w:r>
      <w:r w:rsidRPr="008B07F9">
        <w:rPr>
          <w:rFonts w:cstheme="minorHAnsi"/>
          <w:lang w:val="ro-MD"/>
        </w:rPr>
        <w:t>ng (A) -HF-3x1,5 într-un canal de cablu din plastic de 20x10 mm. Liniile de control de la lampa de semnal, butonul de resetare și butonul de apel sunt realizate cu un cablu -</w:t>
      </w:r>
      <w:r w:rsidR="00E16FD6" w:rsidRPr="008B07F9">
        <w:rPr>
          <w:rFonts w:cstheme="minorHAnsi"/>
          <w:lang w:val="ro-MD"/>
        </w:rPr>
        <w:t xml:space="preserve"> </w:t>
      </w:r>
      <w:r w:rsidRPr="008B07F9">
        <w:rPr>
          <w:rFonts w:cstheme="minorHAnsi"/>
          <w:lang w:val="ro-MD"/>
        </w:rPr>
        <w:t>ng (A) -HF-2x0.5 într-un canal de cablu din plastic de 20x10 mm.</w:t>
      </w:r>
    </w:p>
    <w:p w14:paraId="42C7EBF0" w14:textId="77777777" w:rsidR="008C23AE" w:rsidRPr="008B07F9" w:rsidRDefault="008C23AE" w:rsidP="008C23AE">
      <w:pPr>
        <w:spacing w:after="0"/>
        <w:jc w:val="both"/>
        <w:rPr>
          <w:rFonts w:cstheme="minorHAnsi"/>
          <w:i/>
          <w:lang w:val="ro-MD"/>
        </w:rPr>
      </w:pPr>
    </w:p>
    <w:p w14:paraId="0AB32AA3" w14:textId="3C78B32D" w:rsidR="008C23AE" w:rsidRPr="008B07F9" w:rsidRDefault="008C23AE" w:rsidP="008C23AE">
      <w:pPr>
        <w:spacing w:after="0"/>
        <w:jc w:val="both"/>
        <w:rPr>
          <w:rFonts w:cstheme="minorHAnsi"/>
          <w:lang w:val="ro-MD"/>
        </w:rPr>
      </w:pPr>
      <w:r w:rsidRPr="008B07F9">
        <w:rPr>
          <w:rFonts w:cstheme="minorHAnsi"/>
          <w:i/>
          <w:u w:val="single"/>
          <w:lang w:val="ro-MD"/>
        </w:rPr>
        <w:t>Sistem de semnalizare sonoră.</w:t>
      </w:r>
      <w:r w:rsidRPr="008B07F9">
        <w:rPr>
          <w:rFonts w:cstheme="minorHAnsi"/>
          <w:i/>
          <w:lang w:val="ro-MD"/>
        </w:rPr>
        <w:t xml:space="preserve"> </w:t>
      </w:r>
      <w:r w:rsidRPr="008B07F9">
        <w:rPr>
          <w:rFonts w:cstheme="minorHAnsi"/>
          <w:lang w:val="ro-MD"/>
        </w:rPr>
        <w:t>Acest sistem este conceput pentru a transmite informații despre direcția corectă de mișcare a persoanelor cu deficiențe de vedere utilizând semnale sonore speciale sau texte preînregistrate. Baliza sonoră este situată pe suprafața peretelui de deasupra ușii. Proiectul prevede 1 dispozitiv deasupra intrării principale a clădirii. Baliza este alimentată de la sursa de alimentare PS1 situată lângă tabloul electric PD. Linia de ali-mentare de la sursă la far este realizată cu un cablu -</w:t>
      </w:r>
      <w:r w:rsidR="00E16FD6" w:rsidRPr="008B07F9">
        <w:rPr>
          <w:rFonts w:cstheme="minorHAnsi"/>
          <w:lang w:val="ro-MD"/>
        </w:rPr>
        <w:t xml:space="preserve"> </w:t>
      </w:r>
      <w:r w:rsidRPr="008B07F9">
        <w:rPr>
          <w:rFonts w:cstheme="minorHAnsi"/>
          <w:lang w:val="ro-MD"/>
        </w:rPr>
        <w:t>ng (A) -HF-3x1,5 într-un canal de cablu din plastic de 20x10 mm.</w:t>
      </w:r>
    </w:p>
    <w:p w14:paraId="16775787" w14:textId="77777777" w:rsidR="008C23AE" w:rsidRPr="008B07F9" w:rsidRDefault="008C23AE" w:rsidP="008C23AE">
      <w:pPr>
        <w:spacing w:after="0"/>
        <w:jc w:val="both"/>
        <w:rPr>
          <w:rFonts w:cstheme="minorHAnsi"/>
          <w:i/>
          <w:lang w:val="ro-MD"/>
        </w:rPr>
      </w:pPr>
    </w:p>
    <w:p w14:paraId="7B65A53D" w14:textId="660C81DE" w:rsidR="008C23AE" w:rsidRPr="008B07F9" w:rsidRDefault="008C23AE" w:rsidP="008C23AE">
      <w:pPr>
        <w:spacing w:after="0"/>
        <w:jc w:val="both"/>
        <w:rPr>
          <w:rFonts w:cstheme="minorHAnsi"/>
          <w:i/>
          <w:lang w:val="ro-MD"/>
        </w:rPr>
      </w:pPr>
      <w:r w:rsidRPr="008B07F9">
        <w:rPr>
          <w:rFonts w:cstheme="minorHAnsi"/>
          <w:i/>
          <w:u w:val="single"/>
          <w:lang w:val="ro-MD"/>
        </w:rPr>
        <w:t>Alarma clopotului.</w:t>
      </w:r>
      <w:r w:rsidRPr="008B07F9">
        <w:rPr>
          <w:rFonts w:cstheme="minorHAnsi"/>
          <w:i/>
          <w:lang w:val="ro-MD"/>
        </w:rPr>
        <w:t xml:space="preserve"> </w:t>
      </w:r>
      <w:r w:rsidRPr="008B07F9">
        <w:rPr>
          <w:rFonts w:cstheme="minorHAnsi"/>
          <w:lang w:val="ro-MD"/>
        </w:rPr>
        <w:t xml:space="preserve">Clopoțelele electronice cu fir sunt proiectate pentru a alerta vizitatorii sunând semnale sonore către holul comun. Proiectul oferă un buton și un clopot. Butonul este instalat lângă intrarea principală a clădirii, iar clopotul se află în </w:t>
      </w:r>
      <w:r w:rsidR="00E16FD6" w:rsidRPr="008B07F9">
        <w:rPr>
          <w:rFonts w:cstheme="minorHAnsi"/>
          <w:lang w:val="ro-MD"/>
        </w:rPr>
        <w:t>hol</w:t>
      </w:r>
      <w:r w:rsidRPr="008B07F9">
        <w:rPr>
          <w:rFonts w:cstheme="minorHAnsi"/>
          <w:lang w:val="ro-MD"/>
        </w:rPr>
        <w:t>. Clopotul este alimentat de la sursa de alimentare PS1 situată lângă tabloul electric PD. Linia de alimentare de la sursă la clopot este realizată cu un cablu -</w:t>
      </w:r>
      <w:r w:rsidR="00E16FD6" w:rsidRPr="008B07F9">
        <w:rPr>
          <w:rFonts w:cstheme="minorHAnsi"/>
          <w:lang w:val="ro-MD"/>
        </w:rPr>
        <w:t xml:space="preserve"> </w:t>
      </w:r>
      <w:r w:rsidRPr="008B07F9">
        <w:rPr>
          <w:rFonts w:cstheme="minorHAnsi"/>
          <w:lang w:val="ro-MD"/>
        </w:rPr>
        <w:t>ng (A) -HF-3x1,5 într-un canal de cablu din plastic de 20x10 mm.</w:t>
      </w:r>
    </w:p>
    <w:p w14:paraId="05811524" w14:textId="77777777" w:rsidR="008C23AE" w:rsidRPr="008B07F9" w:rsidRDefault="008C23AE" w:rsidP="008C23AE">
      <w:pPr>
        <w:spacing w:after="0"/>
        <w:jc w:val="both"/>
        <w:rPr>
          <w:rFonts w:cstheme="minorHAnsi"/>
          <w:i/>
          <w:lang w:val="ro-MD"/>
        </w:rPr>
      </w:pPr>
      <w:r w:rsidRPr="008B07F9">
        <w:rPr>
          <w:rFonts w:cstheme="minorHAnsi"/>
          <w:i/>
          <w:lang w:val="ro-MD"/>
        </w:rPr>
        <w:t xml:space="preserve"> </w:t>
      </w:r>
    </w:p>
    <w:p w14:paraId="08C8B6DD" w14:textId="6DDAD09C" w:rsidR="008C23AE" w:rsidRPr="008B07F9" w:rsidRDefault="008C23AE" w:rsidP="008C23AE">
      <w:pPr>
        <w:spacing w:after="0"/>
        <w:jc w:val="both"/>
        <w:rPr>
          <w:rFonts w:cstheme="minorHAnsi"/>
          <w:lang w:val="ro-MD"/>
        </w:rPr>
      </w:pPr>
      <w:r w:rsidRPr="008B07F9">
        <w:rPr>
          <w:rFonts w:cstheme="minorHAnsi"/>
          <w:i/>
          <w:u w:val="single"/>
          <w:lang w:val="ro-MD"/>
        </w:rPr>
        <w:t>Alimentare electrică și împământare de protecție.</w:t>
      </w:r>
      <w:r w:rsidRPr="008B07F9">
        <w:rPr>
          <w:rFonts w:cstheme="minorHAnsi"/>
          <w:i/>
          <w:lang w:val="ro-MD"/>
        </w:rPr>
        <w:t xml:space="preserve"> </w:t>
      </w:r>
      <w:r w:rsidRPr="008B07F9">
        <w:rPr>
          <w:rFonts w:cstheme="minorHAnsi"/>
          <w:lang w:val="ro-MD"/>
        </w:rPr>
        <w:t>Sursa de alimentare a dispozitivelor de alarmă este proiectată în conformitate cu a doua categorie de</w:t>
      </w:r>
      <w:r w:rsidR="00453F73" w:rsidRPr="008B07F9">
        <w:rPr>
          <w:rFonts w:cstheme="minorHAnsi"/>
          <w:lang w:val="ro-MD"/>
        </w:rPr>
        <w:t xml:space="preserve"> fiabilitate a sursei de alimen</w:t>
      </w:r>
      <w:r w:rsidRPr="008B07F9">
        <w:rPr>
          <w:rFonts w:cstheme="minorHAnsi"/>
          <w:lang w:val="ro-MD"/>
        </w:rPr>
        <w:t>tare de la surse de alimentare de 220 / 12V. Toate părțile conductoare ex</w:t>
      </w:r>
      <w:r w:rsidR="00453F73" w:rsidRPr="008B07F9">
        <w:rPr>
          <w:rFonts w:cstheme="minorHAnsi"/>
          <w:lang w:val="ro-MD"/>
        </w:rPr>
        <w:t>puse ale echipa</w:t>
      </w:r>
      <w:r w:rsidRPr="008B07F9">
        <w:rPr>
          <w:rFonts w:cstheme="minorHAnsi"/>
          <w:lang w:val="ro-MD"/>
        </w:rPr>
        <w:t xml:space="preserve">mentelor electrice sunt supuse la împământare de protecție prin conectarea la un conductor PE în conformitate cu PUE, NCM G.01.03: 2016, GOST </w:t>
      </w:r>
      <w:r w:rsidR="00453F73" w:rsidRPr="008B07F9">
        <w:rPr>
          <w:rFonts w:cstheme="minorHAnsi"/>
          <w:lang w:val="ro-MD"/>
        </w:rPr>
        <w:t>12.1.030-81, GOST 464-79 și doc</w:t>
      </w:r>
      <w:r w:rsidRPr="008B07F9">
        <w:rPr>
          <w:rFonts w:cstheme="minorHAnsi"/>
          <w:lang w:val="ro-MD"/>
        </w:rPr>
        <w:t>umentația tehnică a producătorului. Toate sistemele de cabluri de informații sunt realizate exclusiv cu fire de cupru.</w:t>
      </w:r>
    </w:p>
    <w:p w14:paraId="2938F2D6" w14:textId="77777777" w:rsidR="008C23AE" w:rsidRPr="008B07F9" w:rsidRDefault="008C23AE" w:rsidP="00C035C8">
      <w:pPr>
        <w:spacing w:after="0"/>
        <w:jc w:val="both"/>
        <w:rPr>
          <w:rFonts w:cstheme="minorHAnsi"/>
          <w:i/>
          <w:lang w:val="ro-MD"/>
        </w:rPr>
      </w:pPr>
    </w:p>
    <w:p w14:paraId="2675CC6C" w14:textId="77777777" w:rsidR="00A869A4" w:rsidRPr="008B07F9" w:rsidRDefault="00A869A4" w:rsidP="00A869A4">
      <w:pPr>
        <w:spacing w:after="0" w:line="276" w:lineRule="auto"/>
        <w:jc w:val="both"/>
        <w:rPr>
          <w:rFonts w:eastAsia="Calibri" w:cstheme="minorHAnsi"/>
          <w:lang w:val="ro-MD"/>
        </w:rPr>
      </w:pPr>
    </w:p>
    <w:p w14:paraId="10300FDF" w14:textId="799678C4" w:rsidR="00A869A4" w:rsidRPr="008B07F9" w:rsidRDefault="00F847CE" w:rsidP="00F847CE">
      <w:pPr>
        <w:numPr>
          <w:ilvl w:val="0"/>
          <w:numId w:val="1"/>
        </w:numPr>
        <w:spacing w:after="0" w:line="276" w:lineRule="auto"/>
        <w:contextualSpacing/>
        <w:jc w:val="both"/>
        <w:rPr>
          <w:rFonts w:eastAsia="Calibri" w:cstheme="minorHAnsi"/>
          <w:b/>
          <w:lang w:val="ro-MD"/>
        </w:rPr>
      </w:pPr>
      <w:r w:rsidRPr="008B07F9">
        <w:rPr>
          <w:rFonts w:eastAsia="Calibri" w:cstheme="minorHAnsi"/>
          <w:b/>
          <w:lang w:val="ro-MD"/>
        </w:rPr>
        <w:t>Marcarea echipamentului</w:t>
      </w:r>
    </w:p>
    <w:p w14:paraId="3756A0BC" w14:textId="0A71FAB2" w:rsidR="00A869A4" w:rsidRPr="008B07F9" w:rsidRDefault="00BE4740" w:rsidP="00A869A4">
      <w:pPr>
        <w:spacing w:after="0" w:line="276" w:lineRule="auto"/>
        <w:jc w:val="both"/>
        <w:rPr>
          <w:rFonts w:eastAsia="Calibri" w:cstheme="minorHAnsi"/>
          <w:lang w:val="ro-MD"/>
        </w:rPr>
      </w:pPr>
      <w:r w:rsidRPr="008B07F9">
        <w:rPr>
          <w:rFonts w:eastAsia="Calibri" w:cstheme="minorHAnsi"/>
          <w:lang w:val="ro-MD"/>
        </w:rPr>
        <w:t>În clădire este necesar să se instaleze informații și indicatoare pentru persoanele cu dizabilități. Toate aceste marcaje textuale necesare funcționării sistemului trebuie să fie în română și rusă.</w:t>
      </w:r>
    </w:p>
    <w:p w14:paraId="4CC9A88C" w14:textId="77777777" w:rsidR="00B07CBB" w:rsidRPr="008B07F9" w:rsidRDefault="00B07CBB" w:rsidP="00A869A4">
      <w:pPr>
        <w:spacing w:after="0" w:line="276" w:lineRule="auto"/>
        <w:jc w:val="both"/>
        <w:rPr>
          <w:rFonts w:eastAsia="Calibri" w:cstheme="minorHAnsi"/>
          <w:lang w:val="ro-MD"/>
        </w:rPr>
      </w:pPr>
    </w:p>
    <w:p w14:paraId="6F53E23E" w14:textId="77777777" w:rsidR="00B07CBB" w:rsidRPr="008B07F9" w:rsidRDefault="00B07CBB" w:rsidP="00A869A4">
      <w:pPr>
        <w:spacing w:after="0" w:line="276" w:lineRule="auto"/>
        <w:jc w:val="both"/>
        <w:rPr>
          <w:rFonts w:eastAsia="Calibri" w:cstheme="minorHAnsi"/>
          <w:b/>
          <w:lang w:val="ro-MD"/>
        </w:rPr>
      </w:pPr>
    </w:p>
    <w:p w14:paraId="11612397" w14:textId="0B972DAC" w:rsidR="00A869A4" w:rsidRPr="008B07F9" w:rsidRDefault="00BE4740" w:rsidP="00DA4E71">
      <w:pPr>
        <w:numPr>
          <w:ilvl w:val="0"/>
          <w:numId w:val="1"/>
        </w:numPr>
        <w:spacing w:after="0" w:line="276" w:lineRule="auto"/>
        <w:contextualSpacing/>
        <w:jc w:val="both"/>
        <w:rPr>
          <w:rFonts w:eastAsia="Calibri" w:cstheme="minorHAnsi"/>
          <w:b/>
          <w:lang w:val="ro-MD"/>
        </w:rPr>
      </w:pPr>
      <w:r w:rsidRPr="008B07F9">
        <w:rPr>
          <w:rFonts w:eastAsia="Calibri" w:cstheme="minorHAnsi"/>
          <w:b/>
          <w:lang w:val="ro-MD"/>
        </w:rPr>
        <w:t>Recepția la terminarea lucrărilor</w:t>
      </w:r>
      <w:r w:rsidR="00A869A4" w:rsidRPr="008B07F9">
        <w:rPr>
          <w:rFonts w:eastAsia="Calibri" w:cstheme="minorHAnsi"/>
          <w:b/>
          <w:lang w:val="ro-MD"/>
        </w:rPr>
        <w:t xml:space="preserve">   </w:t>
      </w:r>
    </w:p>
    <w:p w14:paraId="32064513" w14:textId="3A24DF3E" w:rsidR="00A869A4" w:rsidRPr="008B07F9" w:rsidRDefault="00EB1B5B" w:rsidP="00A869A4">
      <w:pPr>
        <w:spacing w:after="0" w:line="276" w:lineRule="auto"/>
        <w:jc w:val="both"/>
        <w:rPr>
          <w:rFonts w:eastAsia="Calibri" w:cstheme="minorHAnsi"/>
          <w:lang w:val="ro-MD"/>
        </w:rPr>
      </w:pPr>
      <w:r w:rsidRPr="008B07F9">
        <w:rPr>
          <w:rFonts w:eastAsia="Calibri" w:cstheme="minorHAnsi"/>
          <w:lang w:val="ro-MD"/>
        </w:rPr>
        <w:t xml:space="preserve">După terminarea lucrărilor de construcție, echipamentul prevăzut în contract este instalat și testat în modul corespunzător, se efectuează instruirea personalului și se transmit documentele tehnice, se va </w:t>
      </w:r>
      <w:r w:rsidR="00A37AD2" w:rsidRPr="008B07F9">
        <w:rPr>
          <w:rFonts w:eastAsia="Calibri" w:cstheme="minorHAnsi"/>
          <w:lang w:val="ro-MD"/>
        </w:rPr>
        <w:t xml:space="preserve">efectua </w:t>
      </w:r>
      <w:r w:rsidRPr="008B07F9">
        <w:rPr>
          <w:rFonts w:eastAsia="Calibri" w:cstheme="minorHAnsi"/>
          <w:lang w:val="ro-MD"/>
        </w:rPr>
        <w:t>proced</w:t>
      </w:r>
      <w:r w:rsidR="00A37AD2" w:rsidRPr="008B07F9">
        <w:rPr>
          <w:rFonts w:eastAsia="Calibri" w:cstheme="minorHAnsi"/>
          <w:lang w:val="ro-MD"/>
        </w:rPr>
        <w:t>ur</w:t>
      </w:r>
      <w:r w:rsidRPr="008B07F9">
        <w:rPr>
          <w:rFonts w:eastAsia="Calibri" w:cstheme="minorHAnsi"/>
          <w:lang w:val="ro-MD"/>
        </w:rPr>
        <w:t xml:space="preserve">a </w:t>
      </w:r>
      <w:r w:rsidR="00A37AD2" w:rsidRPr="008B07F9">
        <w:rPr>
          <w:rFonts w:eastAsia="Calibri" w:cstheme="minorHAnsi"/>
          <w:lang w:val="ro-MD"/>
        </w:rPr>
        <w:t>de punere</w:t>
      </w:r>
      <w:r w:rsidRPr="008B07F9">
        <w:rPr>
          <w:rFonts w:eastAsia="Calibri" w:cstheme="minorHAnsi"/>
          <w:lang w:val="ro-MD"/>
        </w:rPr>
        <w:t xml:space="preserve"> în funcțiune a obiectului după finalizarea lucrărilor. Toate costurile legate de organizarea testării sistemelor instalate și instruirea personalului vor fi suportate de către contractant.</w:t>
      </w:r>
    </w:p>
    <w:p w14:paraId="4ED26D34" w14:textId="77777777" w:rsidR="00EB1B5B" w:rsidRPr="008B07F9" w:rsidRDefault="00EB1B5B" w:rsidP="00A869A4">
      <w:pPr>
        <w:spacing w:after="0" w:line="276" w:lineRule="auto"/>
        <w:jc w:val="both"/>
        <w:rPr>
          <w:rFonts w:eastAsia="Calibri" w:cstheme="minorHAnsi"/>
          <w:lang w:val="ro-MD"/>
        </w:rPr>
      </w:pPr>
    </w:p>
    <w:p w14:paraId="3594AB64" w14:textId="215BE5FC" w:rsidR="00A869A4" w:rsidRPr="008B07F9" w:rsidRDefault="00A37AD2" w:rsidP="00DA4E71">
      <w:pPr>
        <w:numPr>
          <w:ilvl w:val="0"/>
          <w:numId w:val="1"/>
        </w:numPr>
        <w:spacing w:after="0" w:line="276" w:lineRule="auto"/>
        <w:contextualSpacing/>
        <w:jc w:val="both"/>
        <w:rPr>
          <w:rFonts w:eastAsia="Calibri" w:cstheme="minorHAnsi"/>
          <w:b/>
          <w:lang w:val="ro-MD"/>
        </w:rPr>
      </w:pPr>
      <w:r w:rsidRPr="008B07F9">
        <w:rPr>
          <w:rFonts w:eastAsia="Calibri" w:cstheme="minorHAnsi"/>
          <w:b/>
          <w:lang w:val="ro-MD"/>
        </w:rPr>
        <w:t>Perioada de garanție</w:t>
      </w:r>
    </w:p>
    <w:bookmarkEnd w:id="0"/>
    <w:p w14:paraId="237FEBBA" w14:textId="7EF4B1EF" w:rsidR="00A869A4" w:rsidRPr="008B07F9" w:rsidRDefault="008741DC" w:rsidP="00A869A4">
      <w:pPr>
        <w:spacing w:after="0" w:line="276" w:lineRule="auto"/>
        <w:jc w:val="both"/>
        <w:rPr>
          <w:rFonts w:eastAsia="Calibri" w:cstheme="minorHAnsi"/>
          <w:lang w:val="ro-MD"/>
        </w:rPr>
      </w:pPr>
      <w:r w:rsidRPr="008B07F9">
        <w:rPr>
          <w:rFonts w:eastAsia="Calibri" w:cstheme="minorHAnsi"/>
          <w:lang w:val="ro-MD"/>
        </w:rPr>
        <w:t>Perioada de garanție pentru lucrări va începe în ziua acceptării obiectului la finalizarea lucrărilor și va fi de cinci ani pentru echipamente, unelte și 1 an pentru lucrări și materiale.</w:t>
      </w:r>
    </w:p>
    <w:p w14:paraId="0C5B22D3" w14:textId="245A488F" w:rsidR="008741DC" w:rsidRPr="008B07F9" w:rsidRDefault="008741DC" w:rsidP="00A869A4">
      <w:pPr>
        <w:spacing w:after="0" w:line="276" w:lineRule="auto"/>
        <w:jc w:val="both"/>
        <w:rPr>
          <w:rFonts w:eastAsia="Calibri" w:cstheme="minorHAnsi"/>
          <w:lang w:val="ro-MD"/>
        </w:rPr>
      </w:pPr>
    </w:p>
    <w:p w14:paraId="3D1FB903" w14:textId="6144979B" w:rsidR="008741DC" w:rsidRPr="008B07F9" w:rsidRDefault="001236B6" w:rsidP="008741DC">
      <w:pPr>
        <w:suppressAutoHyphens/>
        <w:jc w:val="both"/>
        <w:rPr>
          <w:b/>
          <w:lang w:val="ro-MD"/>
        </w:rPr>
      </w:pPr>
      <w:r w:rsidRPr="008B07F9">
        <w:rPr>
          <w:b/>
          <w:lang w:val="ro-MD"/>
        </w:rPr>
        <w:t xml:space="preserve">Nu este autorizată nicio modificare a volumelor din Lista </w:t>
      </w:r>
      <w:r w:rsidRPr="008B07F9">
        <w:rPr>
          <w:b/>
          <w:lang w:val="ro-MD"/>
        </w:rPr>
        <w:t>cu cantitățile de lucrări</w:t>
      </w:r>
      <w:r w:rsidRPr="008B07F9">
        <w:rPr>
          <w:b/>
          <w:lang w:val="ro-MD"/>
        </w:rPr>
        <w:t xml:space="preserve">. Sumele licitate cu modificări în </w:t>
      </w:r>
      <w:r w:rsidRPr="008B07F9">
        <w:rPr>
          <w:b/>
          <w:lang w:val="ro-MD"/>
        </w:rPr>
        <w:t>Lista cu cantitățile de lucrări</w:t>
      </w:r>
      <w:r w:rsidRPr="008B07F9">
        <w:rPr>
          <w:b/>
          <w:lang w:val="ro-MD"/>
        </w:rPr>
        <w:t xml:space="preserve"> în termeni de volum vor fi respinse!</w:t>
      </w:r>
    </w:p>
    <w:p w14:paraId="05098D9F" w14:textId="77777777" w:rsidR="008741DC" w:rsidRPr="008B07F9" w:rsidRDefault="008741DC" w:rsidP="008741DC">
      <w:pPr>
        <w:jc w:val="both"/>
        <w:rPr>
          <w:i/>
          <w:iCs/>
          <w:highlight w:val="yellow"/>
          <w:lang w:val="ro-MD"/>
        </w:rPr>
      </w:pPr>
    </w:p>
    <w:p w14:paraId="5A8AC4F5" w14:textId="202C577D" w:rsidR="008741DC" w:rsidRPr="008B07F9" w:rsidRDefault="008741DC" w:rsidP="008741DC">
      <w:pPr>
        <w:pStyle w:val="ListParagraph"/>
        <w:numPr>
          <w:ilvl w:val="1"/>
          <w:numId w:val="4"/>
        </w:numPr>
        <w:overflowPunct w:val="0"/>
        <w:autoSpaceDE w:val="0"/>
        <w:autoSpaceDN w:val="0"/>
        <w:adjustRightInd w:val="0"/>
        <w:spacing w:after="0" w:line="240" w:lineRule="auto"/>
        <w:contextualSpacing w:val="0"/>
        <w:textAlignment w:val="baseline"/>
        <w:rPr>
          <w:b/>
          <w:sz w:val="24"/>
          <w:szCs w:val="24"/>
          <w:lang w:val="ro-MD"/>
        </w:rPr>
      </w:pPr>
      <w:r w:rsidRPr="008B07F9">
        <w:rPr>
          <w:b/>
          <w:sz w:val="24"/>
          <w:szCs w:val="24"/>
          <w:lang w:val="ro-MD"/>
        </w:rPr>
        <w:t xml:space="preserve"> </w:t>
      </w:r>
      <w:r w:rsidR="001236B6" w:rsidRPr="008B07F9">
        <w:rPr>
          <w:b/>
          <w:sz w:val="24"/>
          <w:szCs w:val="24"/>
          <w:lang w:val="ro-MD"/>
        </w:rPr>
        <w:t>Lista cu cantitățile de lucrări este atașată la documentele de licitație</w:t>
      </w:r>
    </w:p>
    <w:p w14:paraId="18B2CDB0" w14:textId="77777777" w:rsidR="008741DC" w:rsidRPr="008B07F9" w:rsidRDefault="008741DC" w:rsidP="008741DC">
      <w:pPr>
        <w:pStyle w:val="ListParagraph"/>
        <w:ind w:left="360"/>
        <w:rPr>
          <w:b/>
          <w:sz w:val="24"/>
          <w:szCs w:val="24"/>
          <w:lang w:val="ro-MD"/>
        </w:rPr>
      </w:pPr>
    </w:p>
    <w:tbl>
      <w:tblPr>
        <w:tblStyle w:val="TableGrid"/>
        <w:tblW w:w="9180" w:type="dxa"/>
        <w:tblInd w:w="107" w:type="dxa"/>
        <w:tblLook w:val="04A0" w:firstRow="1" w:lastRow="0" w:firstColumn="1" w:lastColumn="0" w:noHBand="0" w:noVBand="1"/>
      </w:tblPr>
      <w:tblGrid>
        <w:gridCol w:w="991"/>
        <w:gridCol w:w="1350"/>
        <w:gridCol w:w="6839"/>
      </w:tblGrid>
      <w:tr w:rsidR="008741DC" w:rsidRPr="008B07F9" w14:paraId="0C9D3096" w14:textId="77777777" w:rsidTr="001E0B77">
        <w:tc>
          <w:tcPr>
            <w:tcW w:w="991" w:type="dxa"/>
            <w:shd w:val="clear" w:color="auto" w:fill="E7E6E6" w:themeFill="background2"/>
          </w:tcPr>
          <w:p w14:paraId="1E8994E2" w14:textId="420CF99A" w:rsidR="008741DC" w:rsidRPr="008B07F9" w:rsidRDefault="008741DC" w:rsidP="001236B6">
            <w:pPr>
              <w:jc w:val="center"/>
              <w:rPr>
                <w:b/>
                <w:lang w:val="ro-MD"/>
              </w:rPr>
            </w:pPr>
            <w:r w:rsidRPr="008B07F9">
              <w:rPr>
                <w:b/>
                <w:lang w:val="ro-MD"/>
              </w:rPr>
              <w:t>Lot N</w:t>
            </w:r>
            <w:r w:rsidR="001236B6" w:rsidRPr="008B07F9">
              <w:rPr>
                <w:b/>
                <w:lang w:val="ro-MD"/>
              </w:rPr>
              <w:t>r</w:t>
            </w:r>
            <w:r w:rsidRPr="008B07F9">
              <w:rPr>
                <w:b/>
                <w:lang w:val="ro-MD"/>
              </w:rPr>
              <w:t>.</w:t>
            </w:r>
          </w:p>
        </w:tc>
        <w:tc>
          <w:tcPr>
            <w:tcW w:w="1350" w:type="dxa"/>
            <w:shd w:val="clear" w:color="auto" w:fill="E7E6E6" w:themeFill="background2"/>
          </w:tcPr>
          <w:p w14:paraId="1F216191" w14:textId="36098266" w:rsidR="008741DC" w:rsidRPr="008B07F9" w:rsidRDefault="008741DC" w:rsidP="001236B6">
            <w:pPr>
              <w:jc w:val="center"/>
              <w:rPr>
                <w:b/>
                <w:lang w:val="ro-MD"/>
              </w:rPr>
            </w:pPr>
            <w:r w:rsidRPr="008B07F9">
              <w:rPr>
                <w:b/>
                <w:lang w:val="ro-MD"/>
              </w:rPr>
              <w:t>A</w:t>
            </w:r>
            <w:r w:rsidR="001236B6" w:rsidRPr="008B07F9">
              <w:rPr>
                <w:b/>
                <w:lang w:val="ro-MD"/>
              </w:rPr>
              <w:t>n</w:t>
            </w:r>
            <w:r w:rsidRPr="008B07F9">
              <w:rPr>
                <w:b/>
                <w:lang w:val="ro-MD"/>
              </w:rPr>
              <w:t>ex</w:t>
            </w:r>
            <w:r w:rsidR="001236B6" w:rsidRPr="008B07F9">
              <w:rPr>
                <w:b/>
                <w:lang w:val="ro-MD"/>
              </w:rPr>
              <w:t>a</w:t>
            </w:r>
            <w:r w:rsidRPr="008B07F9">
              <w:rPr>
                <w:b/>
                <w:lang w:val="ro-MD"/>
              </w:rPr>
              <w:t xml:space="preserve"> N</w:t>
            </w:r>
            <w:r w:rsidR="001236B6" w:rsidRPr="008B07F9">
              <w:rPr>
                <w:b/>
                <w:lang w:val="ro-MD"/>
              </w:rPr>
              <w:t>r</w:t>
            </w:r>
            <w:r w:rsidRPr="008B07F9">
              <w:rPr>
                <w:b/>
                <w:lang w:val="ro-MD"/>
              </w:rPr>
              <w:t xml:space="preserve">. </w:t>
            </w:r>
          </w:p>
        </w:tc>
        <w:tc>
          <w:tcPr>
            <w:tcW w:w="6839" w:type="dxa"/>
            <w:shd w:val="clear" w:color="auto" w:fill="E7E6E6" w:themeFill="background2"/>
          </w:tcPr>
          <w:p w14:paraId="5EA8CBBE" w14:textId="77777777" w:rsidR="008741DC" w:rsidRPr="008B07F9" w:rsidRDefault="008741DC" w:rsidP="001E0B77">
            <w:pPr>
              <w:jc w:val="center"/>
              <w:rPr>
                <w:b/>
                <w:lang w:val="ro-MD"/>
              </w:rPr>
            </w:pPr>
            <w:r w:rsidRPr="008B07F9">
              <w:rPr>
                <w:b/>
                <w:lang w:val="ro-MD"/>
              </w:rPr>
              <w:t>Name of the Project proposal</w:t>
            </w:r>
          </w:p>
        </w:tc>
      </w:tr>
      <w:tr w:rsidR="008741DC" w:rsidRPr="008B07F9" w14:paraId="1E78BC90" w14:textId="77777777" w:rsidTr="001E0B77">
        <w:tc>
          <w:tcPr>
            <w:tcW w:w="991" w:type="dxa"/>
          </w:tcPr>
          <w:p w14:paraId="055DA7F0" w14:textId="77777777" w:rsidR="008741DC" w:rsidRPr="008B07F9" w:rsidRDefault="008741DC" w:rsidP="001E0B77">
            <w:pPr>
              <w:jc w:val="center"/>
              <w:rPr>
                <w:lang w:val="ro-MD"/>
              </w:rPr>
            </w:pPr>
            <w:r w:rsidRPr="008B07F9">
              <w:rPr>
                <w:lang w:val="ro-MD"/>
              </w:rPr>
              <w:t>Lot 1</w:t>
            </w:r>
          </w:p>
        </w:tc>
        <w:tc>
          <w:tcPr>
            <w:tcW w:w="1350" w:type="dxa"/>
          </w:tcPr>
          <w:p w14:paraId="75005390" w14:textId="0A507288" w:rsidR="008741DC" w:rsidRPr="008B07F9" w:rsidRDefault="001236B6" w:rsidP="001E0B77">
            <w:pPr>
              <w:rPr>
                <w:lang w:val="ro-MD"/>
              </w:rPr>
            </w:pPr>
            <w:r w:rsidRPr="008B07F9">
              <w:rPr>
                <w:lang w:val="ro-MD"/>
              </w:rPr>
              <w:t>An</w:t>
            </w:r>
            <w:r w:rsidR="008741DC" w:rsidRPr="008B07F9">
              <w:rPr>
                <w:lang w:val="ro-MD"/>
              </w:rPr>
              <w:t>ex</w:t>
            </w:r>
            <w:r w:rsidRPr="008B07F9">
              <w:rPr>
                <w:lang w:val="ro-MD"/>
              </w:rPr>
              <w:t>a</w:t>
            </w:r>
            <w:r w:rsidR="008741DC" w:rsidRPr="008B07F9">
              <w:rPr>
                <w:lang w:val="ro-MD"/>
              </w:rPr>
              <w:t xml:space="preserve"> 1 </w:t>
            </w:r>
          </w:p>
        </w:tc>
        <w:tc>
          <w:tcPr>
            <w:tcW w:w="6839" w:type="dxa"/>
          </w:tcPr>
          <w:p w14:paraId="2892B00D" w14:textId="1434E7F8" w:rsidR="008741DC" w:rsidRPr="008B07F9" w:rsidRDefault="001236B6" w:rsidP="001E0B77">
            <w:pPr>
              <w:rPr>
                <w:lang w:val="ro-MD"/>
              </w:rPr>
            </w:pPr>
            <w:r w:rsidRPr="008B07F9">
              <w:rPr>
                <w:lang w:val="ro-MD"/>
              </w:rPr>
              <w:t>„Lucrări de reconstrucție / modificare a Centrului de Tineret Bălți”</w:t>
            </w:r>
          </w:p>
        </w:tc>
      </w:tr>
      <w:tr w:rsidR="008741DC" w:rsidRPr="008B07F9" w14:paraId="6EC43042" w14:textId="77777777" w:rsidTr="001E0B77">
        <w:tc>
          <w:tcPr>
            <w:tcW w:w="991" w:type="dxa"/>
          </w:tcPr>
          <w:p w14:paraId="18E6B1FD" w14:textId="77777777" w:rsidR="008741DC" w:rsidRPr="008B07F9" w:rsidRDefault="008741DC" w:rsidP="001E0B77">
            <w:pPr>
              <w:jc w:val="center"/>
              <w:rPr>
                <w:lang w:val="ro-MD"/>
              </w:rPr>
            </w:pPr>
            <w:r w:rsidRPr="008B07F9">
              <w:rPr>
                <w:lang w:val="ro-MD"/>
              </w:rPr>
              <w:t>Lot 2</w:t>
            </w:r>
          </w:p>
        </w:tc>
        <w:tc>
          <w:tcPr>
            <w:tcW w:w="1350" w:type="dxa"/>
          </w:tcPr>
          <w:p w14:paraId="6546E9EF" w14:textId="2B88BCA5" w:rsidR="008741DC" w:rsidRPr="008B07F9" w:rsidRDefault="001236B6" w:rsidP="001E0B77">
            <w:pPr>
              <w:rPr>
                <w:lang w:val="ro-MD"/>
              </w:rPr>
            </w:pPr>
            <w:r w:rsidRPr="008B07F9">
              <w:rPr>
                <w:lang w:val="ro-MD"/>
              </w:rPr>
              <w:t xml:space="preserve">Anexa </w:t>
            </w:r>
            <w:r w:rsidR="008741DC" w:rsidRPr="008B07F9">
              <w:rPr>
                <w:lang w:val="ro-MD"/>
              </w:rPr>
              <w:t xml:space="preserve">2 </w:t>
            </w:r>
          </w:p>
        </w:tc>
        <w:tc>
          <w:tcPr>
            <w:tcW w:w="6839" w:type="dxa"/>
          </w:tcPr>
          <w:p w14:paraId="6C896A69" w14:textId="6E928B98" w:rsidR="008741DC" w:rsidRPr="008B07F9" w:rsidRDefault="008741DC" w:rsidP="001E0B77">
            <w:pPr>
              <w:rPr>
                <w:lang w:val="ro-MD"/>
              </w:rPr>
            </w:pPr>
            <w:r w:rsidRPr="008B07F9">
              <w:rPr>
                <w:lang w:val="ro-MD"/>
              </w:rPr>
              <w:t>“</w:t>
            </w:r>
            <w:r w:rsidR="001236B6" w:rsidRPr="008B07F9">
              <w:rPr>
                <w:lang w:val="ro-MD"/>
              </w:rPr>
              <w:t xml:space="preserve">Lucrări de reconstrucție / modificare a Centrului de Tineret </w:t>
            </w:r>
            <w:r w:rsidRPr="008B07F9">
              <w:rPr>
                <w:lang w:val="ro-MD"/>
              </w:rPr>
              <w:t>Criuleni”</w:t>
            </w:r>
          </w:p>
        </w:tc>
      </w:tr>
      <w:tr w:rsidR="008741DC" w:rsidRPr="008B07F9" w14:paraId="66B87506" w14:textId="77777777" w:rsidTr="001E0B77">
        <w:tc>
          <w:tcPr>
            <w:tcW w:w="991" w:type="dxa"/>
          </w:tcPr>
          <w:p w14:paraId="777C4664" w14:textId="77777777" w:rsidR="008741DC" w:rsidRPr="008B07F9" w:rsidRDefault="008741DC" w:rsidP="001E0B77">
            <w:pPr>
              <w:jc w:val="center"/>
              <w:rPr>
                <w:lang w:val="ro-MD"/>
              </w:rPr>
            </w:pPr>
            <w:r w:rsidRPr="008B07F9">
              <w:rPr>
                <w:lang w:val="ro-MD"/>
              </w:rPr>
              <w:t>Lot 3</w:t>
            </w:r>
          </w:p>
        </w:tc>
        <w:tc>
          <w:tcPr>
            <w:tcW w:w="1350" w:type="dxa"/>
          </w:tcPr>
          <w:p w14:paraId="75A55240" w14:textId="039E48B0" w:rsidR="008741DC" w:rsidRPr="008B07F9" w:rsidRDefault="001236B6" w:rsidP="001E0B77">
            <w:pPr>
              <w:rPr>
                <w:lang w:val="ro-MD"/>
              </w:rPr>
            </w:pPr>
            <w:r w:rsidRPr="008B07F9">
              <w:rPr>
                <w:lang w:val="ro-MD"/>
              </w:rPr>
              <w:t xml:space="preserve">Anexa </w:t>
            </w:r>
            <w:r w:rsidR="008741DC" w:rsidRPr="008B07F9">
              <w:rPr>
                <w:lang w:val="ro-MD"/>
              </w:rPr>
              <w:t xml:space="preserve">3 </w:t>
            </w:r>
          </w:p>
        </w:tc>
        <w:tc>
          <w:tcPr>
            <w:tcW w:w="6839" w:type="dxa"/>
          </w:tcPr>
          <w:p w14:paraId="62515F0E" w14:textId="590B1151" w:rsidR="008741DC" w:rsidRPr="008B07F9" w:rsidRDefault="008741DC" w:rsidP="001E0B77">
            <w:pPr>
              <w:rPr>
                <w:lang w:val="ro-MD"/>
              </w:rPr>
            </w:pPr>
            <w:r w:rsidRPr="008B07F9">
              <w:rPr>
                <w:lang w:val="ro-MD"/>
              </w:rPr>
              <w:t>“</w:t>
            </w:r>
            <w:r w:rsidR="001236B6" w:rsidRPr="008B07F9">
              <w:rPr>
                <w:lang w:val="ro-MD"/>
              </w:rPr>
              <w:t xml:space="preserve">Lucrări de reconstrucție / modificare a Centrului de Tineret </w:t>
            </w:r>
            <w:r w:rsidRPr="008B07F9">
              <w:rPr>
                <w:lang w:val="ro-MD"/>
              </w:rPr>
              <w:t>Nisporeni”</w:t>
            </w:r>
          </w:p>
        </w:tc>
      </w:tr>
      <w:tr w:rsidR="008741DC" w:rsidRPr="008B07F9" w14:paraId="50F4D7C2" w14:textId="77777777" w:rsidTr="001E0B77">
        <w:tc>
          <w:tcPr>
            <w:tcW w:w="991" w:type="dxa"/>
          </w:tcPr>
          <w:p w14:paraId="4D6E5852" w14:textId="77777777" w:rsidR="008741DC" w:rsidRPr="008B07F9" w:rsidRDefault="008741DC" w:rsidP="001E0B77">
            <w:pPr>
              <w:jc w:val="center"/>
              <w:rPr>
                <w:lang w:val="ro-MD"/>
              </w:rPr>
            </w:pPr>
            <w:r w:rsidRPr="008B07F9">
              <w:rPr>
                <w:lang w:val="ro-MD"/>
              </w:rPr>
              <w:t>Lot 4</w:t>
            </w:r>
          </w:p>
        </w:tc>
        <w:tc>
          <w:tcPr>
            <w:tcW w:w="1350" w:type="dxa"/>
          </w:tcPr>
          <w:p w14:paraId="1D3F2645" w14:textId="1E56DCB3" w:rsidR="008741DC" w:rsidRPr="008B07F9" w:rsidRDefault="001236B6" w:rsidP="001E0B77">
            <w:pPr>
              <w:rPr>
                <w:lang w:val="ro-MD"/>
              </w:rPr>
            </w:pPr>
            <w:r w:rsidRPr="008B07F9">
              <w:rPr>
                <w:lang w:val="ro-MD"/>
              </w:rPr>
              <w:t xml:space="preserve">Anexa </w:t>
            </w:r>
            <w:r w:rsidR="008741DC" w:rsidRPr="008B07F9">
              <w:rPr>
                <w:lang w:val="ro-MD"/>
              </w:rPr>
              <w:t xml:space="preserve">4 </w:t>
            </w:r>
          </w:p>
        </w:tc>
        <w:tc>
          <w:tcPr>
            <w:tcW w:w="6839" w:type="dxa"/>
          </w:tcPr>
          <w:p w14:paraId="1AABEECC" w14:textId="1A5D6DB8" w:rsidR="008741DC" w:rsidRPr="008B07F9" w:rsidRDefault="008741DC" w:rsidP="001E0B77">
            <w:pPr>
              <w:rPr>
                <w:lang w:val="ro-MD"/>
              </w:rPr>
            </w:pPr>
            <w:r w:rsidRPr="008B07F9">
              <w:rPr>
                <w:lang w:val="ro-MD"/>
              </w:rPr>
              <w:t>“</w:t>
            </w:r>
            <w:r w:rsidR="001236B6" w:rsidRPr="008B07F9">
              <w:rPr>
                <w:lang w:val="ro-MD"/>
              </w:rPr>
              <w:t xml:space="preserve">Lucrări de reconstrucție / modificare a Centrului de Tineret </w:t>
            </w:r>
            <w:r w:rsidRPr="008B07F9">
              <w:rPr>
                <w:lang w:val="ro-MD"/>
              </w:rPr>
              <w:t>Orhei”</w:t>
            </w:r>
          </w:p>
        </w:tc>
      </w:tr>
      <w:tr w:rsidR="008741DC" w:rsidRPr="008B07F9" w14:paraId="399720E7" w14:textId="77777777" w:rsidTr="001E0B77">
        <w:tc>
          <w:tcPr>
            <w:tcW w:w="991" w:type="dxa"/>
          </w:tcPr>
          <w:p w14:paraId="5C060A89" w14:textId="77777777" w:rsidR="008741DC" w:rsidRPr="008B07F9" w:rsidRDefault="008741DC" w:rsidP="001E0B77">
            <w:pPr>
              <w:jc w:val="center"/>
              <w:rPr>
                <w:lang w:val="ro-MD"/>
              </w:rPr>
            </w:pPr>
            <w:r w:rsidRPr="008B07F9">
              <w:rPr>
                <w:lang w:val="ro-MD"/>
              </w:rPr>
              <w:t>Lot 5</w:t>
            </w:r>
          </w:p>
        </w:tc>
        <w:tc>
          <w:tcPr>
            <w:tcW w:w="1350" w:type="dxa"/>
          </w:tcPr>
          <w:p w14:paraId="6ECF1A89" w14:textId="1CB2E2C7" w:rsidR="008741DC" w:rsidRPr="008B07F9" w:rsidRDefault="001236B6" w:rsidP="001E0B77">
            <w:pPr>
              <w:rPr>
                <w:lang w:val="ro-MD"/>
              </w:rPr>
            </w:pPr>
            <w:r w:rsidRPr="008B07F9">
              <w:rPr>
                <w:lang w:val="ro-MD"/>
              </w:rPr>
              <w:t xml:space="preserve">Anexa </w:t>
            </w:r>
            <w:r w:rsidR="008741DC" w:rsidRPr="008B07F9">
              <w:rPr>
                <w:lang w:val="ro-MD"/>
              </w:rPr>
              <w:t>5</w:t>
            </w:r>
          </w:p>
        </w:tc>
        <w:tc>
          <w:tcPr>
            <w:tcW w:w="6839" w:type="dxa"/>
          </w:tcPr>
          <w:p w14:paraId="1A39E1C6" w14:textId="329B3795" w:rsidR="008741DC" w:rsidRPr="008B07F9" w:rsidRDefault="008741DC" w:rsidP="001E0B77">
            <w:pPr>
              <w:rPr>
                <w:lang w:val="ro-MD"/>
              </w:rPr>
            </w:pPr>
            <w:r w:rsidRPr="008B07F9">
              <w:rPr>
                <w:lang w:val="ro-MD"/>
              </w:rPr>
              <w:t>“</w:t>
            </w:r>
            <w:r w:rsidR="001236B6" w:rsidRPr="008B07F9">
              <w:rPr>
                <w:lang w:val="ro-MD"/>
              </w:rPr>
              <w:t xml:space="preserve">Lucrări de reconstrucție / modificare a Centrului de Tineret </w:t>
            </w:r>
            <w:r w:rsidRPr="008B07F9">
              <w:rPr>
                <w:lang w:val="ro-MD"/>
              </w:rPr>
              <w:t>Soroca”</w:t>
            </w:r>
          </w:p>
        </w:tc>
      </w:tr>
    </w:tbl>
    <w:p w14:paraId="75D60BB1" w14:textId="77777777" w:rsidR="008741DC" w:rsidRPr="008B07F9" w:rsidRDefault="008741DC" w:rsidP="008741DC">
      <w:pPr>
        <w:ind w:left="720"/>
        <w:jc w:val="both"/>
        <w:rPr>
          <w:i/>
          <w:iCs/>
          <w:highlight w:val="yellow"/>
          <w:lang w:val="ro-MD"/>
        </w:rPr>
      </w:pPr>
    </w:p>
    <w:p w14:paraId="2F8B73F9" w14:textId="77777777" w:rsidR="008741DC" w:rsidRPr="008B07F9" w:rsidRDefault="008741DC" w:rsidP="008741DC">
      <w:pPr>
        <w:ind w:left="720"/>
        <w:jc w:val="both"/>
        <w:rPr>
          <w:i/>
          <w:iCs/>
          <w:highlight w:val="yellow"/>
          <w:lang w:val="ro-MD"/>
        </w:rPr>
      </w:pPr>
    </w:p>
    <w:p w14:paraId="13ECD5E0" w14:textId="12EB0041" w:rsidR="008741DC" w:rsidRPr="008B07F9" w:rsidRDefault="001236B6" w:rsidP="008741DC">
      <w:pPr>
        <w:pStyle w:val="ListParagraph"/>
        <w:numPr>
          <w:ilvl w:val="1"/>
          <w:numId w:val="4"/>
        </w:numPr>
        <w:overflowPunct w:val="0"/>
        <w:autoSpaceDE w:val="0"/>
        <w:autoSpaceDN w:val="0"/>
        <w:adjustRightInd w:val="0"/>
        <w:spacing w:after="0" w:line="240" w:lineRule="auto"/>
        <w:contextualSpacing w:val="0"/>
        <w:textAlignment w:val="baseline"/>
        <w:rPr>
          <w:b/>
          <w:sz w:val="24"/>
          <w:szCs w:val="24"/>
          <w:lang w:val="ro-MD"/>
        </w:rPr>
      </w:pPr>
      <w:r w:rsidRPr="008B07F9">
        <w:rPr>
          <w:b/>
          <w:sz w:val="24"/>
          <w:szCs w:val="24"/>
          <w:lang w:val="ro-MD"/>
        </w:rPr>
        <w:t>Planul cerințelor</w:t>
      </w:r>
    </w:p>
    <w:p w14:paraId="7FD5B19C" w14:textId="77777777" w:rsidR="008741DC" w:rsidRPr="008B07F9" w:rsidRDefault="008741DC" w:rsidP="008741DC">
      <w:pPr>
        <w:rPr>
          <w:lang w:val="ro-MD"/>
        </w:rPr>
      </w:pPr>
    </w:p>
    <w:tbl>
      <w:tblPr>
        <w:tblW w:w="928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738"/>
        <w:gridCol w:w="4230"/>
        <w:gridCol w:w="2250"/>
        <w:gridCol w:w="2070"/>
      </w:tblGrid>
      <w:tr w:rsidR="008741DC" w:rsidRPr="008B07F9" w14:paraId="1A21F057" w14:textId="77777777" w:rsidTr="001E0B77">
        <w:trPr>
          <w:cantSplit/>
          <w:trHeight w:val="1091"/>
        </w:trPr>
        <w:tc>
          <w:tcPr>
            <w:tcW w:w="738" w:type="dxa"/>
            <w:tcBorders>
              <w:top w:val="single" w:sz="4" w:space="0" w:color="auto"/>
              <w:left w:val="single" w:sz="4" w:space="0" w:color="auto"/>
              <w:right w:val="single" w:sz="4" w:space="0" w:color="auto"/>
            </w:tcBorders>
            <w:vAlign w:val="center"/>
          </w:tcPr>
          <w:p w14:paraId="440BB990" w14:textId="08D60442" w:rsidR="008741DC" w:rsidRPr="008B07F9" w:rsidRDefault="001236B6" w:rsidP="001E0B77">
            <w:pPr>
              <w:jc w:val="center"/>
              <w:rPr>
                <w:b/>
                <w:bCs/>
                <w:lang w:val="ro-MD"/>
              </w:rPr>
            </w:pPr>
            <w:r w:rsidRPr="008B07F9">
              <w:rPr>
                <w:b/>
                <w:bCs/>
                <w:lang w:val="ro-MD"/>
              </w:rPr>
              <w:t>Nr</w:t>
            </w:r>
            <w:r w:rsidR="008741DC" w:rsidRPr="008B07F9">
              <w:rPr>
                <w:b/>
                <w:bCs/>
                <w:lang w:val="ro-MD"/>
              </w:rPr>
              <w:t>.</w:t>
            </w:r>
          </w:p>
        </w:tc>
        <w:tc>
          <w:tcPr>
            <w:tcW w:w="4230" w:type="dxa"/>
            <w:tcBorders>
              <w:top w:val="single" w:sz="4" w:space="0" w:color="auto"/>
              <w:left w:val="single" w:sz="4" w:space="0" w:color="auto"/>
              <w:bottom w:val="single" w:sz="4" w:space="0" w:color="auto"/>
              <w:right w:val="single" w:sz="4" w:space="0" w:color="auto"/>
            </w:tcBorders>
            <w:vAlign w:val="center"/>
          </w:tcPr>
          <w:p w14:paraId="10DAA7F3" w14:textId="2BF17152" w:rsidR="008741DC" w:rsidRPr="008B07F9" w:rsidRDefault="001236B6" w:rsidP="001E0B77">
            <w:pPr>
              <w:jc w:val="center"/>
              <w:rPr>
                <w:b/>
                <w:bCs/>
                <w:lang w:val="ro-MD"/>
              </w:rPr>
            </w:pPr>
            <w:r w:rsidRPr="008B07F9">
              <w:rPr>
                <w:b/>
                <w:bCs/>
                <w:lang w:val="ro-MD"/>
              </w:rPr>
              <w:t>Descrierea lucrărilor</w:t>
            </w:r>
          </w:p>
        </w:tc>
        <w:tc>
          <w:tcPr>
            <w:tcW w:w="2250" w:type="dxa"/>
            <w:tcBorders>
              <w:top w:val="single" w:sz="4" w:space="0" w:color="auto"/>
              <w:left w:val="single" w:sz="4" w:space="0" w:color="auto"/>
              <w:bottom w:val="single" w:sz="4" w:space="0" w:color="auto"/>
              <w:right w:val="single" w:sz="4" w:space="0" w:color="auto"/>
            </w:tcBorders>
            <w:vAlign w:val="center"/>
          </w:tcPr>
          <w:p w14:paraId="2F69D890" w14:textId="0C00AB40" w:rsidR="008741DC" w:rsidRPr="008B07F9" w:rsidRDefault="001236B6" w:rsidP="001236B6">
            <w:pPr>
              <w:jc w:val="center"/>
              <w:rPr>
                <w:b/>
                <w:bCs/>
                <w:lang w:val="ro-MD"/>
              </w:rPr>
            </w:pPr>
            <w:r w:rsidRPr="008B07F9">
              <w:rPr>
                <w:b/>
                <w:bCs/>
                <w:lang w:val="ro-MD"/>
              </w:rPr>
              <w:t>Locul în care lucrările vor fi efectuate</w:t>
            </w:r>
          </w:p>
        </w:tc>
        <w:tc>
          <w:tcPr>
            <w:tcW w:w="2070" w:type="dxa"/>
            <w:tcBorders>
              <w:top w:val="single" w:sz="4" w:space="0" w:color="auto"/>
              <w:left w:val="single" w:sz="4" w:space="0" w:color="auto"/>
              <w:bottom w:val="single" w:sz="4" w:space="0" w:color="auto"/>
              <w:right w:val="single" w:sz="4" w:space="0" w:color="auto"/>
            </w:tcBorders>
            <w:vAlign w:val="center"/>
          </w:tcPr>
          <w:p w14:paraId="0AA5EA80" w14:textId="69EE4DD3" w:rsidR="008741DC" w:rsidRPr="008B07F9" w:rsidRDefault="001236B6" w:rsidP="001E0B77">
            <w:pPr>
              <w:ind w:left="-18"/>
              <w:jc w:val="center"/>
              <w:rPr>
                <w:b/>
                <w:bCs/>
                <w:lang w:val="ro-MD"/>
              </w:rPr>
            </w:pPr>
            <w:r w:rsidRPr="008B07F9">
              <w:rPr>
                <w:b/>
                <w:bCs/>
                <w:lang w:val="ro-MD"/>
              </w:rPr>
              <w:t>Data finalizării lucrărilor</w:t>
            </w:r>
          </w:p>
        </w:tc>
      </w:tr>
      <w:tr w:rsidR="008741DC" w:rsidRPr="008B07F9" w14:paraId="09FF9AE3" w14:textId="77777777" w:rsidTr="001E0B77">
        <w:trPr>
          <w:cantSplit/>
          <w:trHeight w:val="255"/>
        </w:trPr>
        <w:tc>
          <w:tcPr>
            <w:tcW w:w="738" w:type="dxa"/>
            <w:tcBorders>
              <w:top w:val="single" w:sz="4" w:space="0" w:color="auto"/>
              <w:left w:val="single" w:sz="4" w:space="0" w:color="auto"/>
              <w:bottom w:val="single" w:sz="4" w:space="0" w:color="auto"/>
              <w:right w:val="single" w:sz="4" w:space="0" w:color="auto"/>
            </w:tcBorders>
          </w:tcPr>
          <w:p w14:paraId="230E0A28" w14:textId="77777777" w:rsidR="008741DC" w:rsidRPr="008B07F9" w:rsidRDefault="008741DC" w:rsidP="001E0B77">
            <w:pPr>
              <w:pStyle w:val="Outline"/>
              <w:spacing w:before="0"/>
              <w:jc w:val="center"/>
              <w:rPr>
                <w:kern w:val="0"/>
                <w:lang w:val="ro-MD"/>
              </w:rPr>
            </w:pPr>
            <w:r w:rsidRPr="008B07F9">
              <w:rPr>
                <w:sz w:val="22"/>
                <w:szCs w:val="22"/>
                <w:lang w:val="ro-MD"/>
              </w:rPr>
              <w:t>Lot 1</w:t>
            </w:r>
          </w:p>
        </w:tc>
        <w:tc>
          <w:tcPr>
            <w:tcW w:w="4230" w:type="dxa"/>
            <w:tcBorders>
              <w:top w:val="single" w:sz="4" w:space="0" w:color="auto"/>
              <w:left w:val="single" w:sz="4" w:space="0" w:color="auto"/>
              <w:bottom w:val="single" w:sz="4" w:space="0" w:color="auto"/>
              <w:right w:val="single" w:sz="4" w:space="0" w:color="auto"/>
            </w:tcBorders>
          </w:tcPr>
          <w:p w14:paraId="6CA85E1F" w14:textId="3BB484B4" w:rsidR="008741DC" w:rsidRPr="008B07F9" w:rsidRDefault="008B07F9" w:rsidP="001E0B77">
            <w:pPr>
              <w:pStyle w:val="Outline"/>
              <w:spacing w:before="0"/>
              <w:jc w:val="center"/>
              <w:rPr>
                <w:kern w:val="0"/>
                <w:sz w:val="22"/>
                <w:szCs w:val="22"/>
                <w:lang w:val="ro-MD"/>
              </w:rPr>
            </w:pPr>
            <w:r w:rsidRPr="008B07F9">
              <w:rPr>
                <w:sz w:val="22"/>
                <w:szCs w:val="22"/>
                <w:lang w:val="ro-MD"/>
              </w:rPr>
              <w:t>„Lucrări de reconstrucție / modificare a Centrului de Tineret Bălți”</w:t>
            </w:r>
          </w:p>
        </w:tc>
        <w:tc>
          <w:tcPr>
            <w:tcW w:w="2250" w:type="dxa"/>
            <w:tcBorders>
              <w:top w:val="single" w:sz="4" w:space="0" w:color="auto"/>
              <w:left w:val="single" w:sz="4" w:space="0" w:color="auto"/>
              <w:bottom w:val="single" w:sz="4" w:space="0" w:color="auto"/>
              <w:right w:val="single" w:sz="4" w:space="0" w:color="auto"/>
            </w:tcBorders>
          </w:tcPr>
          <w:p w14:paraId="122FB0F1" w14:textId="570DACB8" w:rsidR="008741DC" w:rsidRPr="008B07F9" w:rsidRDefault="008B07F9" w:rsidP="008B07F9">
            <w:pPr>
              <w:pStyle w:val="Outline"/>
              <w:spacing w:before="0"/>
              <w:jc w:val="center"/>
              <w:rPr>
                <w:kern w:val="0"/>
                <w:sz w:val="22"/>
                <w:szCs w:val="22"/>
                <w:lang w:val="ro-MD"/>
              </w:rPr>
            </w:pPr>
            <w:r w:rsidRPr="008B07F9">
              <w:rPr>
                <w:sz w:val="22"/>
                <w:szCs w:val="22"/>
                <w:lang w:val="ro-MD"/>
              </w:rPr>
              <w:t>str.</w:t>
            </w:r>
            <w:r w:rsidRPr="008B07F9">
              <w:rPr>
                <w:sz w:val="22"/>
                <w:szCs w:val="22"/>
                <w:lang w:val="ro-MD"/>
              </w:rPr>
              <w:t xml:space="preserve"> </w:t>
            </w:r>
            <w:r w:rsidR="008741DC" w:rsidRPr="008B07F9">
              <w:rPr>
                <w:sz w:val="22"/>
                <w:szCs w:val="22"/>
                <w:lang w:val="ro-MD"/>
              </w:rPr>
              <w:t>Konev</w:t>
            </w:r>
            <w:r w:rsidRPr="008B07F9">
              <w:rPr>
                <w:sz w:val="22"/>
                <w:szCs w:val="22"/>
                <w:lang w:val="ro-MD"/>
              </w:rPr>
              <w:t xml:space="preserve"> 7</w:t>
            </w:r>
            <w:r w:rsidR="008741DC" w:rsidRPr="008B07F9">
              <w:rPr>
                <w:sz w:val="22"/>
                <w:szCs w:val="22"/>
                <w:lang w:val="ro-MD"/>
              </w:rPr>
              <w:t>, Bălți</w:t>
            </w:r>
          </w:p>
        </w:tc>
        <w:tc>
          <w:tcPr>
            <w:tcW w:w="2070" w:type="dxa"/>
            <w:tcBorders>
              <w:top w:val="single" w:sz="4" w:space="0" w:color="auto"/>
              <w:left w:val="single" w:sz="4" w:space="0" w:color="auto"/>
              <w:bottom w:val="single" w:sz="4" w:space="0" w:color="auto"/>
              <w:right w:val="single" w:sz="4" w:space="0" w:color="auto"/>
            </w:tcBorders>
          </w:tcPr>
          <w:p w14:paraId="4AA3D3C2" w14:textId="4CBBD201" w:rsidR="008741DC" w:rsidRPr="008B07F9" w:rsidRDefault="008B07F9" w:rsidP="001E0B77">
            <w:pPr>
              <w:pStyle w:val="Outline"/>
              <w:spacing w:before="0"/>
              <w:jc w:val="center"/>
              <w:rPr>
                <w:kern w:val="0"/>
                <w:sz w:val="22"/>
                <w:szCs w:val="22"/>
                <w:lang w:val="ro-MD"/>
              </w:rPr>
            </w:pPr>
            <w:r w:rsidRPr="008B07F9">
              <w:rPr>
                <w:kern w:val="0"/>
                <w:sz w:val="22"/>
                <w:szCs w:val="22"/>
                <w:lang w:val="ro-MD"/>
              </w:rPr>
              <w:t>În termen de 120 de zile de la semnarea contractului</w:t>
            </w:r>
          </w:p>
        </w:tc>
      </w:tr>
      <w:tr w:rsidR="008B07F9" w:rsidRPr="008B07F9" w14:paraId="118D388C" w14:textId="77777777" w:rsidTr="001E0B77">
        <w:trPr>
          <w:cantSplit/>
          <w:trHeight w:val="255"/>
        </w:trPr>
        <w:tc>
          <w:tcPr>
            <w:tcW w:w="738" w:type="dxa"/>
            <w:tcBorders>
              <w:top w:val="single" w:sz="4" w:space="0" w:color="auto"/>
              <w:left w:val="single" w:sz="4" w:space="0" w:color="auto"/>
              <w:bottom w:val="single" w:sz="4" w:space="0" w:color="auto"/>
              <w:right w:val="single" w:sz="4" w:space="0" w:color="auto"/>
            </w:tcBorders>
          </w:tcPr>
          <w:p w14:paraId="2DE5AF0A" w14:textId="77777777" w:rsidR="008B07F9" w:rsidRPr="008B07F9" w:rsidRDefault="008B07F9" w:rsidP="008B07F9">
            <w:pPr>
              <w:pStyle w:val="Outline"/>
              <w:spacing w:before="0"/>
              <w:jc w:val="center"/>
              <w:rPr>
                <w:kern w:val="0"/>
                <w:lang w:val="ro-MD"/>
              </w:rPr>
            </w:pPr>
            <w:r w:rsidRPr="008B07F9">
              <w:rPr>
                <w:sz w:val="22"/>
                <w:szCs w:val="22"/>
                <w:lang w:val="ro-MD"/>
              </w:rPr>
              <w:t>Lot 2</w:t>
            </w:r>
          </w:p>
        </w:tc>
        <w:tc>
          <w:tcPr>
            <w:tcW w:w="4230" w:type="dxa"/>
            <w:tcBorders>
              <w:top w:val="single" w:sz="4" w:space="0" w:color="auto"/>
              <w:left w:val="single" w:sz="4" w:space="0" w:color="auto"/>
              <w:bottom w:val="single" w:sz="4" w:space="0" w:color="auto"/>
              <w:right w:val="single" w:sz="4" w:space="0" w:color="auto"/>
            </w:tcBorders>
          </w:tcPr>
          <w:p w14:paraId="5F78CB6D" w14:textId="583DBCDA" w:rsidR="008B07F9" w:rsidRPr="008B07F9" w:rsidRDefault="008B07F9" w:rsidP="008B07F9">
            <w:pPr>
              <w:pStyle w:val="Outline"/>
              <w:spacing w:before="0"/>
              <w:jc w:val="center"/>
              <w:rPr>
                <w:kern w:val="0"/>
                <w:lang w:val="ro-MD"/>
              </w:rPr>
            </w:pPr>
            <w:r w:rsidRPr="008B07F9">
              <w:rPr>
                <w:lang w:val="ro-MD"/>
              </w:rPr>
              <w:t>“Lucrări de reconstrucție / modificare a Centrului de Tineret Criuleni”</w:t>
            </w:r>
          </w:p>
        </w:tc>
        <w:tc>
          <w:tcPr>
            <w:tcW w:w="2250" w:type="dxa"/>
            <w:tcBorders>
              <w:top w:val="single" w:sz="4" w:space="0" w:color="auto"/>
              <w:left w:val="single" w:sz="4" w:space="0" w:color="auto"/>
              <w:bottom w:val="single" w:sz="4" w:space="0" w:color="auto"/>
              <w:right w:val="single" w:sz="4" w:space="0" w:color="auto"/>
            </w:tcBorders>
          </w:tcPr>
          <w:p w14:paraId="382108AA" w14:textId="7DCB7CCD" w:rsidR="008B07F9" w:rsidRPr="008B07F9" w:rsidRDefault="008B07F9" w:rsidP="008B07F9">
            <w:pPr>
              <w:pStyle w:val="Outline"/>
              <w:spacing w:before="0"/>
              <w:jc w:val="center"/>
              <w:rPr>
                <w:kern w:val="0"/>
                <w:sz w:val="22"/>
                <w:szCs w:val="22"/>
                <w:lang w:val="ro-MD"/>
              </w:rPr>
            </w:pPr>
            <w:r w:rsidRPr="008B07F9">
              <w:rPr>
                <w:sz w:val="22"/>
                <w:szCs w:val="22"/>
                <w:lang w:val="ro-MD"/>
              </w:rPr>
              <w:t>str.</w:t>
            </w:r>
            <w:r w:rsidRPr="008B07F9">
              <w:rPr>
                <w:sz w:val="22"/>
                <w:szCs w:val="22"/>
                <w:lang w:val="ro-MD"/>
              </w:rPr>
              <w:t xml:space="preserve"> </w:t>
            </w:r>
            <w:r w:rsidRPr="008B07F9">
              <w:rPr>
                <w:sz w:val="22"/>
                <w:szCs w:val="22"/>
                <w:lang w:val="ro-MD"/>
              </w:rPr>
              <w:t>31 August</w:t>
            </w:r>
            <w:r w:rsidRPr="008B07F9">
              <w:rPr>
                <w:sz w:val="22"/>
                <w:szCs w:val="22"/>
                <w:lang w:val="ro-MD"/>
              </w:rPr>
              <w:t xml:space="preserve"> </w:t>
            </w:r>
            <w:r w:rsidRPr="008B07F9">
              <w:rPr>
                <w:sz w:val="22"/>
                <w:szCs w:val="22"/>
                <w:lang w:val="ro-MD"/>
              </w:rPr>
              <w:t>106, Criuleni</w:t>
            </w:r>
          </w:p>
        </w:tc>
        <w:tc>
          <w:tcPr>
            <w:tcW w:w="2070" w:type="dxa"/>
            <w:tcBorders>
              <w:top w:val="single" w:sz="4" w:space="0" w:color="auto"/>
              <w:left w:val="single" w:sz="4" w:space="0" w:color="auto"/>
              <w:bottom w:val="single" w:sz="4" w:space="0" w:color="auto"/>
              <w:right w:val="single" w:sz="4" w:space="0" w:color="auto"/>
            </w:tcBorders>
          </w:tcPr>
          <w:p w14:paraId="66562318" w14:textId="7ECE7698" w:rsidR="008B07F9" w:rsidRPr="008B07F9" w:rsidRDefault="008B07F9" w:rsidP="008B07F9">
            <w:pPr>
              <w:pStyle w:val="Outline"/>
              <w:spacing w:before="0"/>
              <w:jc w:val="center"/>
              <w:rPr>
                <w:kern w:val="0"/>
                <w:sz w:val="22"/>
                <w:szCs w:val="22"/>
                <w:lang w:val="ro-MD"/>
              </w:rPr>
            </w:pPr>
            <w:r w:rsidRPr="008B07F9">
              <w:rPr>
                <w:kern w:val="0"/>
                <w:sz w:val="22"/>
                <w:szCs w:val="22"/>
                <w:lang w:val="ro-MD"/>
              </w:rPr>
              <w:t>În termen de 90 de zile de la semnarea contractului</w:t>
            </w:r>
          </w:p>
        </w:tc>
      </w:tr>
      <w:tr w:rsidR="008B07F9" w:rsidRPr="008B07F9" w14:paraId="53ED2192" w14:textId="77777777" w:rsidTr="001E0B77">
        <w:trPr>
          <w:cantSplit/>
          <w:trHeight w:val="255"/>
        </w:trPr>
        <w:tc>
          <w:tcPr>
            <w:tcW w:w="738" w:type="dxa"/>
            <w:tcBorders>
              <w:top w:val="single" w:sz="4" w:space="0" w:color="auto"/>
              <w:left w:val="single" w:sz="4" w:space="0" w:color="auto"/>
              <w:bottom w:val="single" w:sz="4" w:space="0" w:color="auto"/>
              <w:right w:val="single" w:sz="4" w:space="0" w:color="auto"/>
            </w:tcBorders>
          </w:tcPr>
          <w:p w14:paraId="71BF0AC1" w14:textId="77777777" w:rsidR="008B07F9" w:rsidRPr="008B07F9" w:rsidRDefault="008B07F9" w:rsidP="008B07F9">
            <w:pPr>
              <w:pStyle w:val="Outline"/>
              <w:spacing w:before="0"/>
              <w:jc w:val="center"/>
              <w:rPr>
                <w:kern w:val="0"/>
                <w:lang w:val="ro-MD"/>
              </w:rPr>
            </w:pPr>
            <w:r w:rsidRPr="008B07F9">
              <w:rPr>
                <w:sz w:val="22"/>
                <w:szCs w:val="22"/>
                <w:lang w:val="ro-MD"/>
              </w:rPr>
              <w:t>Lot 3</w:t>
            </w:r>
          </w:p>
        </w:tc>
        <w:tc>
          <w:tcPr>
            <w:tcW w:w="4230" w:type="dxa"/>
            <w:tcBorders>
              <w:top w:val="single" w:sz="4" w:space="0" w:color="auto"/>
              <w:left w:val="single" w:sz="4" w:space="0" w:color="auto"/>
              <w:bottom w:val="single" w:sz="4" w:space="0" w:color="auto"/>
              <w:right w:val="single" w:sz="4" w:space="0" w:color="auto"/>
            </w:tcBorders>
          </w:tcPr>
          <w:p w14:paraId="490C7B49" w14:textId="5C8BB896" w:rsidR="008B07F9" w:rsidRPr="008B07F9" w:rsidRDefault="008B07F9" w:rsidP="008B07F9">
            <w:pPr>
              <w:pStyle w:val="Outline"/>
              <w:spacing w:before="0"/>
              <w:jc w:val="center"/>
              <w:rPr>
                <w:kern w:val="0"/>
                <w:lang w:val="ro-MD"/>
              </w:rPr>
            </w:pPr>
            <w:r w:rsidRPr="008B07F9">
              <w:rPr>
                <w:lang w:val="ro-MD"/>
              </w:rPr>
              <w:t>“Lucrări de reconstrucție / modificare a Centrului de Tineret Nisporeni”</w:t>
            </w:r>
          </w:p>
        </w:tc>
        <w:tc>
          <w:tcPr>
            <w:tcW w:w="2250" w:type="dxa"/>
            <w:tcBorders>
              <w:top w:val="single" w:sz="4" w:space="0" w:color="auto"/>
              <w:left w:val="single" w:sz="4" w:space="0" w:color="auto"/>
              <w:bottom w:val="single" w:sz="4" w:space="0" w:color="auto"/>
              <w:right w:val="single" w:sz="4" w:space="0" w:color="auto"/>
            </w:tcBorders>
          </w:tcPr>
          <w:p w14:paraId="7EE26C05" w14:textId="2CEF921A" w:rsidR="008B07F9" w:rsidRPr="008B07F9" w:rsidRDefault="008B07F9" w:rsidP="008B07F9">
            <w:pPr>
              <w:pStyle w:val="Outline"/>
              <w:spacing w:before="0"/>
              <w:jc w:val="center"/>
              <w:rPr>
                <w:kern w:val="0"/>
                <w:sz w:val="22"/>
                <w:szCs w:val="22"/>
                <w:lang w:val="ro-MD"/>
              </w:rPr>
            </w:pPr>
            <w:r w:rsidRPr="008B07F9">
              <w:rPr>
                <w:sz w:val="22"/>
                <w:szCs w:val="22"/>
                <w:lang w:val="ro-MD"/>
              </w:rPr>
              <w:t>str.</w:t>
            </w:r>
            <w:r w:rsidRPr="008B07F9">
              <w:rPr>
                <w:sz w:val="22"/>
                <w:szCs w:val="22"/>
                <w:lang w:val="ro-MD"/>
              </w:rPr>
              <w:t xml:space="preserve"> </w:t>
            </w:r>
            <w:r w:rsidRPr="008B07F9">
              <w:rPr>
                <w:sz w:val="22"/>
                <w:szCs w:val="22"/>
                <w:lang w:val="ro-MD"/>
              </w:rPr>
              <w:t>Suveranității</w:t>
            </w:r>
            <w:r w:rsidRPr="008B07F9">
              <w:rPr>
                <w:sz w:val="22"/>
                <w:szCs w:val="22"/>
                <w:lang w:val="ro-MD"/>
              </w:rPr>
              <w:t xml:space="preserve"> 4</w:t>
            </w:r>
            <w:r w:rsidRPr="008B07F9">
              <w:rPr>
                <w:sz w:val="22"/>
                <w:szCs w:val="22"/>
                <w:lang w:val="ro-MD"/>
              </w:rPr>
              <w:t>, Nisporeni</w:t>
            </w:r>
          </w:p>
        </w:tc>
        <w:tc>
          <w:tcPr>
            <w:tcW w:w="2070" w:type="dxa"/>
            <w:tcBorders>
              <w:top w:val="single" w:sz="4" w:space="0" w:color="auto"/>
              <w:left w:val="single" w:sz="4" w:space="0" w:color="auto"/>
              <w:bottom w:val="single" w:sz="4" w:space="0" w:color="auto"/>
              <w:right w:val="single" w:sz="4" w:space="0" w:color="auto"/>
            </w:tcBorders>
          </w:tcPr>
          <w:p w14:paraId="4F56E71D" w14:textId="63359551" w:rsidR="008B07F9" w:rsidRPr="008B07F9" w:rsidRDefault="008B07F9" w:rsidP="008B07F9">
            <w:pPr>
              <w:pStyle w:val="Outline"/>
              <w:spacing w:before="0"/>
              <w:jc w:val="center"/>
              <w:rPr>
                <w:kern w:val="0"/>
                <w:sz w:val="22"/>
                <w:szCs w:val="22"/>
                <w:lang w:val="ro-MD"/>
              </w:rPr>
            </w:pPr>
            <w:r w:rsidRPr="008B07F9">
              <w:rPr>
                <w:kern w:val="0"/>
                <w:sz w:val="22"/>
                <w:szCs w:val="22"/>
                <w:lang w:val="ro-MD"/>
              </w:rPr>
              <w:t>În termen de 90 de zile de la semnarea contractului</w:t>
            </w:r>
          </w:p>
        </w:tc>
      </w:tr>
      <w:tr w:rsidR="008B07F9" w:rsidRPr="008B07F9" w14:paraId="5F1149A4" w14:textId="77777777" w:rsidTr="001E0B77">
        <w:trPr>
          <w:cantSplit/>
          <w:trHeight w:val="255"/>
        </w:trPr>
        <w:tc>
          <w:tcPr>
            <w:tcW w:w="738" w:type="dxa"/>
            <w:tcBorders>
              <w:top w:val="single" w:sz="4" w:space="0" w:color="auto"/>
              <w:left w:val="single" w:sz="4" w:space="0" w:color="auto"/>
              <w:bottom w:val="single" w:sz="4" w:space="0" w:color="auto"/>
              <w:right w:val="single" w:sz="4" w:space="0" w:color="auto"/>
            </w:tcBorders>
          </w:tcPr>
          <w:p w14:paraId="4B2DB64E" w14:textId="77777777" w:rsidR="008B07F9" w:rsidRPr="008B07F9" w:rsidRDefault="008B07F9" w:rsidP="008B07F9">
            <w:pPr>
              <w:pStyle w:val="Outline"/>
              <w:spacing w:before="0"/>
              <w:jc w:val="center"/>
              <w:rPr>
                <w:kern w:val="0"/>
                <w:lang w:val="ro-MD"/>
              </w:rPr>
            </w:pPr>
            <w:r w:rsidRPr="008B07F9">
              <w:rPr>
                <w:sz w:val="22"/>
                <w:szCs w:val="22"/>
                <w:lang w:val="ro-MD"/>
              </w:rPr>
              <w:t>Lot 4</w:t>
            </w:r>
          </w:p>
        </w:tc>
        <w:tc>
          <w:tcPr>
            <w:tcW w:w="4230" w:type="dxa"/>
            <w:tcBorders>
              <w:top w:val="single" w:sz="4" w:space="0" w:color="auto"/>
              <w:left w:val="single" w:sz="4" w:space="0" w:color="auto"/>
              <w:bottom w:val="single" w:sz="4" w:space="0" w:color="auto"/>
              <w:right w:val="single" w:sz="4" w:space="0" w:color="auto"/>
            </w:tcBorders>
          </w:tcPr>
          <w:p w14:paraId="33B7A721" w14:textId="50F7C7C3" w:rsidR="008B07F9" w:rsidRPr="008B07F9" w:rsidRDefault="008B07F9" w:rsidP="008B07F9">
            <w:pPr>
              <w:pStyle w:val="Outline"/>
              <w:spacing w:before="0"/>
              <w:jc w:val="center"/>
              <w:rPr>
                <w:kern w:val="0"/>
                <w:lang w:val="ro-MD"/>
              </w:rPr>
            </w:pPr>
            <w:r w:rsidRPr="008B07F9">
              <w:rPr>
                <w:lang w:val="ro-MD"/>
              </w:rPr>
              <w:t>“Lucrări de reconstrucție / modificare a Centrului de Tineret Orhei”</w:t>
            </w:r>
          </w:p>
        </w:tc>
        <w:tc>
          <w:tcPr>
            <w:tcW w:w="2250" w:type="dxa"/>
            <w:tcBorders>
              <w:top w:val="single" w:sz="4" w:space="0" w:color="auto"/>
              <w:left w:val="single" w:sz="4" w:space="0" w:color="auto"/>
              <w:bottom w:val="single" w:sz="4" w:space="0" w:color="auto"/>
              <w:right w:val="single" w:sz="4" w:space="0" w:color="auto"/>
            </w:tcBorders>
          </w:tcPr>
          <w:p w14:paraId="279359D5" w14:textId="0A427BAE" w:rsidR="008B07F9" w:rsidRPr="008B07F9" w:rsidRDefault="008B07F9" w:rsidP="008B07F9">
            <w:pPr>
              <w:pStyle w:val="Outline"/>
              <w:spacing w:before="0"/>
              <w:jc w:val="center"/>
              <w:rPr>
                <w:kern w:val="0"/>
                <w:sz w:val="22"/>
                <w:szCs w:val="22"/>
                <w:lang w:val="ro-MD"/>
              </w:rPr>
            </w:pPr>
            <w:r w:rsidRPr="008B07F9">
              <w:rPr>
                <w:sz w:val="22"/>
                <w:szCs w:val="22"/>
                <w:lang w:val="ro-MD"/>
              </w:rPr>
              <w:t>str.</w:t>
            </w:r>
            <w:r w:rsidRPr="008B07F9">
              <w:rPr>
                <w:sz w:val="22"/>
                <w:szCs w:val="22"/>
                <w:lang w:val="ro-MD"/>
              </w:rPr>
              <w:t xml:space="preserve"> </w:t>
            </w:r>
            <w:r w:rsidRPr="008B07F9">
              <w:rPr>
                <w:sz w:val="22"/>
                <w:szCs w:val="22"/>
                <w:lang w:val="ro-MD"/>
              </w:rPr>
              <w:t>Vasile Mahu 120, Orhei</w:t>
            </w:r>
          </w:p>
        </w:tc>
        <w:tc>
          <w:tcPr>
            <w:tcW w:w="2070" w:type="dxa"/>
            <w:tcBorders>
              <w:top w:val="single" w:sz="4" w:space="0" w:color="auto"/>
              <w:left w:val="single" w:sz="4" w:space="0" w:color="auto"/>
              <w:bottom w:val="single" w:sz="4" w:space="0" w:color="auto"/>
              <w:right w:val="single" w:sz="4" w:space="0" w:color="auto"/>
            </w:tcBorders>
          </w:tcPr>
          <w:p w14:paraId="5AEA06BC" w14:textId="4429EBC5" w:rsidR="008B07F9" w:rsidRPr="008B07F9" w:rsidRDefault="008B07F9" w:rsidP="008B07F9">
            <w:pPr>
              <w:pStyle w:val="Outline"/>
              <w:spacing w:before="0"/>
              <w:jc w:val="center"/>
              <w:rPr>
                <w:kern w:val="0"/>
                <w:sz w:val="22"/>
                <w:szCs w:val="22"/>
                <w:lang w:val="ro-MD"/>
              </w:rPr>
            </w:pPr>
            <w:r w:rsidRPr="008B07F9">
              <w:rPr>
                <w:kern w:val="0"/>
                <w:sz w:val="22"/>
                <w:szCs w:val="22"/>
                <w:lang w:val="ro-MD"/>
              </w:rPr>
              <w:t>În termen de 120 de zile de la semnarea contractului</w:t>
            </w:r>
          </w:p>
        </w:tc>
      </w:tr>
      <w:tr w:rsidR="008B07F9" w:rsidRPr="008B07F9" w14:paraId="0001EFB6" w14:textId="77777777" w:rsidTr="001E0B77">
        <w:trPr>
          <w:cantSplit/>
          <w:trHeight w:val="255"/>
        </w:trPr>
        <w:tc>
          <w:tcPr>
            <w:tcW w:w="738" w:type="dxa"/>
            <w:tcBorders>
              <w:top w:val="single" w:sz="4" w:space="0" w:color="auto"/>
              <w:left w:val="single" w:sz="4" w:space="0" w:color="auto"/>
              <w:bottom w:val="single" w:sz="4" w:space="0" w:color="auto"/>
              <w:right w:val="single" w:sz="4" w:space="0" w:color="auto"/>
            </w:tcBorders>
          </w:tcPr>
          <w:p w14:paraId="3542EF45" w14:textId="77777777" w:rsidR="008B07F9" w:rsidRPr="008B07F9" w:rsidRDefault="008B07F9" w:rsidP="008B07F9">
            <w:pPr>
              <w:pStyle w:val="Outline"/>
              <w:spacing w:before="0"/>
              <w:jc w:val="center"/>
              <w:rPr>
                <w:kern w:val="0"/>
                <w:lang w:val="ro-MD"/>
              </w:rPr>
            </w:pPr>
            <w:r w:rsidRPr="008B07F9">
              <w:rPr>
                <w:sz w:val="22"/>
                <w:szCs w:val="22"/>
                <w:lang w:val="ro-MD"/>
              </w:rPr>
              <w:lastRenderedPageBreak/>
              <w:t>Lot 5</w:t>
            </w:r>
          </w:p>
        </w:tc>
        <w:tc>
          <w:tcPr>
            <w:tcW w:w="4230" w:type="dxa"/>
            <w:tcBorders>
              <w:top w:val="single" w:sz="4" w:space="0" w:color="auto"/>
              <w:left w:val="single" w:sz="4" w:space="0" w:color="auto"/>
              <w:bottom w:val="single" w:sz="4" w:space="0" w:color="auto"/>
              <w:right w:val="single" w:sz="4" w:space="0" w:color="auto"/>
            </w:tcBorders>
          </w:tcPr>
          <w:p w14:paraId="63E209F9" w14:textId="321BA7AD" w:rsidR="008B07F9" w:rsidRPr="008B07F9" w:rsidRDefault="008B07F9" w:rsidP="008B07F9">
            <w:pPr>
              <w:pStyle w:val="Outline"/>
              <w:spacing w:before="0"/>
              <w:jc w:val="center"/>
              <w:rPr>
                <w:kern w:val="0"/>
                <w:lang w:val="ro-MD"/>
              </w:rPr>
            </w:pPr>
            <w:r w:rsidRPr="008B07F9">
              <w:rPr>
                <w:lang w:val="ro-MD"/>
              </w:rPr>
              <w:t>“Lucrări de reconstrucție / modificare a Centrului de Tineret Soroca”</w:t>
            </w:r>
          </w:p>
        </w:tc>
        <w:tc>
          <w:tcPr>
            <w:tcW w:w="2250" w:type="dxa"/>
            <w:tcBorders>
              <w:top w:val="single" w:sz="4" w:space="0" w:color="auto"/>
              <w:left w:val="single" w:sz="4" w:space="0" w:color="auto"/>
              <w:bottom w:val="single" w:sz="4" w:space="0" w:color="auto"/>
              <w:right w:val="single" w:sz="4" w:space="0" w:color="auto"/>
            </w:tcBorders>
          </w:tcPr>
          <w:p w14:paraId="71A5827A" w14:textId="08FA0539" w:rsidR="008B07F9" w:rsidRPr="008B07F9" w:rsidRDefault="008B07F9" w:rsidP="008B07F9">
            <w:pPr>
              <w:pStyle w:val="Outline"/>
              <w:spacing w:before="0"/>
              <w:jc w:val="center"/>
              <w:rPr>
                <w:kern w:val="0"/>
                <w:sz w:val="22"/>
                <w:szCs w:val="22"/>
                <w:lang w:val="ro-MD"/>
              </w:rPr>
            </w:pPr>
            <w:r w:rsidRPr="008B07F9">
              <w:rPr>
                <w:sz w:val="22"/>
                <w:szCs w:val="22"/>
                <w:lang w:val="ro-MD"/>
              </w:rPr>
              <w:t>str.</w:t>
            </w:r>
            <w:r w:rsidRPr="008B07F9">
              <w:rPr>
                <w:sz w:val="22"/>
                <w:szCs w:val="22"/>
                <w:lang w:val="ro-MD"/>
              </w:rPr>
              <w:t xml:space="preserve"> </w:t>
            </w:r>
            <w:r w:rsidRPr="008B07F9">
              <w:rPr>
                <w:sz w:val="22"/>
                <w:szCs w:val="22"/>
                <w:lang w:val="ro-MD"/>
              </w:rPr>
              <w:t>Mihail Sadoveanu21, Soroca</w:t>
            </w:r>
          </w:p>
        </w:tc>
        <w:tc>
          <w:tcPr>
            <w:tcW w:w="2070" w:type="dxa"/>
            <w:tcBorders>
              <w:top w:val="single" w:sz="4" w:space="0" w:color="auto"/>
              <w:left w:val="single" w:sz="4" w:space="0" w:color="auto"/>
              <w:bottom w:val="single" w:sz="4" w:space="0" w:color="auto"/>
              <w:right w:val="single" w:sz="4" w:space="0" w:color="auto"/>
            </w:tcBorders>
          </w:tcPr>
          <w:p w14:paraId="758B672C" w14:textId="66ACF4C2" w:rsidR="008B07F9" w:rsidRPr="008B07F9" w:rsidRDefault="008B07F9" w:rsidP="008B07F9">
            <w:pPr>
              <w:pStyle w:val="Outline"/>
              <w:spacing w:before="0"/>
              <w:jc w:val="center"/>
              <w:rPr>
                <w:kern w:val="0"/>
                <w:sz w:val="22"/>
                <w:szCs w:val="22"/>
                <w:lang w:val="ro-MD"/>
              </w:rPr>
            </w:pPr>
            <w:r w:rsidRPr="008B07F9">
              <w:rPr>
                <w:kern w:val="0"/>
                <w:sz w:val="22"/>
                <w:szCs w:val="22"/>
                <w:lang w:val="ro-MD"/>
              </w:rPr>
              <w:t>În termen de 90 de zile de la semnarea contractului</w:t>
            </w:r>
          </w:p>
        </w:tc>
      </w:tr>
    </w:tbl>
    <w:p w14:paraId="6555BBCF" w14:textId="77777777" w:rsidR="008741DC" w:rsidRPr="008B07F9" w:rsidRDefault="008741DC" w:rsidP="008741DC">
      <w:pPr>
        <w:rPr>
          <w:b/>
          <w:kern w:val="28"/>
          <w:lang w:val="ro-MD"/>
        </w:rPr>
      </w:pPr>
    </w:p>
    <w:p w14:paraId="7D831496" w14:textId="284700D6" w:rsidR="008741DC" w:rsidRPr="008B07F9" w:rsidRDefault="008741DC" w:rsidP="008741DC">
      <w:pPr>
        <w:rPr>
          <w:lang w:val="ro-MD"/>
        </w:rPr>
      </w:pPr>
    </w:p>
    <w:p w14:paraId="0517515F" w14:textId="36280E82" w:rsidR="00A869A4" w:rsidRPr="008B07F9" w:rsidRDefault="008741DC" w:rsidP="008741DC">
      <w:pPr>
        <w:tabs>
          <w:tab w:val="left" w:pos="1377"/>
        </w:tabs>
        <w:rPr>
          <w:rFonts w:eastAsia="Calibri" w:cstheme="minorHAnsi"/>
          <w:lang w:val="ro-MD"/>
        </w:rPr>
      </w:pPr>
      <w:r w:rsidRPr="008B07F9">
        <w:rPr>
          <w:lang w:val="ro-MD"/>
        </w:rPr>
        <w:tab/>
      </w:r>
    </w:p>
    <w:sectPr w:rsidR="00A869A4" w:rsidRPr="008B07F9" w:rsidSect="00A64917">
      <w:headerReference w:type="default" r:id="rId13"/>
      <w:footerReference w:type="default" r:id="rId14"/>
      <w:pgSz w:w="11906" w:h="16838" w:code="9"/>
      <w:pgMar w:top="964" w:right="851"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E5A7A" w14:textId="77777777" w:rsidR="00886B15" w:rsidRDefault="00886B15" w:rsidP="00E56798">
      <w:pPr>
        <w:spacing w:after="0" w:line="240" w:lineRule="auto"/>
      </w:pPr>
      <w:r>
        <w:separator/>
      </w:r>
    </w:p>
  </w:endnote>
  <w:endnote w:type="continuationSeparator" w:id="0">
    <w:p w14:paraId="4FBD7AF8" w14:textId="77777777" w:rsidR="00886B15" w:rsidRDefault="00886B15" w:rsidP="00E56798">
      <w:pPr>
        <w:spacing w:after="0" w:line="240" w:lineRule="auto"/>
      </w:pPr>
      <w:r>
        <w:continuationSeparator/>
      </w:r>
    </w:p>
  </w:endnote>
  <w:endnote w:type="continuationNotice" w:id="1">
    <w:p w14:paraId="706D636C" w14:textId="77777777" w:rsidR="00886B15" w:rsidRDefault="00886B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B0630" w14:textId="66BB0BD8" w:rsidR="007A4F7B" w:rsidRPr="00596C96" w:rsidRDefault="00C044AB">
    <w:pPr>
      <w:pStyle w:val="Footer"/>
    </w:pPr>
    <w:r>
      <w:rPr>
        <w:sz w:val="20"/>
        <w:szCs w:val="20"/>
      </w:rPr>
      <w:t>xxxxxxxxxxxxxxxxxxxx</w:t>
    </w:r>
    <w:r w:rsidR="007A4F7B">
      <w:rPr>
        <w:sz w:val="20"/>
        <w:szCs w:val="20"/>
      </w:rPr>
      <w:t xml:space="preserve"> –</w:t>
    </w:r>
    <w:r w:rsidR="007A4F7B" w:rsidRPr="00596C96">
      <w:rPr>
        <w:sz w:val="20"/>
        <w:szCs w:val="20"/>
      </w:rPr>
      <w:t xml:space="preserve"> </w:t>
    </w:r>
    <w:r>
      <w:rPr>
        <w:sz w:val="20"/>
        <w:szCs w:val="20"/>
      </w:rPr>
      <w:t>December</w:t>
    </w:r>
    <w:r w:rsidR="007A4F7B">
      <w:rPr>
        <w:sz w:val="20"/>
        <w:szCs w:val="20"/>
      </w:rPr>
      <w:t xml:space="preserve"> 2020</w:t>
    </w:r>
    <w:r w:rsidR="007A4F7B">
      <w:tab/>
    </w:r>
    <w:r w:rsidR="007A4F7B">
      <w:tab/>
    </w:r>
    <w:r w:rsidR="007A4F7B" w:rsidRPr="00596C96">
      <w:rPr>
        <w:sz w:val="20"/>
        <w:szCs w:val="20"/>
      </w:rPr>
      <w:fldChar w:fldCharType="begin"/>
    </w:r>
    <w:r w:rsidR="007A4F7B" w:rsidRPr="00596C96">
      <w:rPr>
        <w:sz w:val="20"/>
        <w:szCs w:val="20"/>
      </w:rPr>
      <w:instrText xml:space="preserve"> PAGE   \* MERGEFORMAT </w:instrText>
    </w:r>
    <w:r w:rsidR="007A4F7B" w:rsidRPr="00596C96">
      <w:rPr>
        <w:sz w:val="20"/>
        <w:szCs w:val="20"/>
      </w:rPr>
      <w:fldChar w:fldCharType="separate"/>
    </w:r>
    <w:r w:rsidR="008B07F9">
      <w:rPr>
        <w:noProof/>
        <w:sz w:val="20"/>
        <w:szCs w:val="20"/>
      </w:rPr>
      <w:t>1</w:t>
    </w:r>
    <w:r w:rsidR="007A4F7B"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E6148F" w14:textId="77777777" w:rsidR="00886B15" w:rsidRDefault="00886B15" w:rsidP="00E56798">
      <w:pPr>
        <w:spacing w:after="0" w:line="240" w:lineRule="auto"/>
      </w:pPr>
      <w:r>
        <w:separator/>
      </w:r>
    </w:p>
  </w:footnote>
  <w:footnote w:type="continuationSeparator" w:id="0">
    <w:p w14:paraId="483CB0F4" w14:textId="77777777" w:rsidR="00886B15" w:rsidRDefault="00886B15" w:rsidP="00E56798">
      <w:pPr>
        <w:spacing w:after="0" w:line="240" w:lineRule="auto"/>
      </w:pPr>
      <w:r>
        <w:continuationSeparator/>
      </w:r>
    </w:p>
  </w:footnote>
  <w:footnote w:type="continuationNotice" w:id="1">
    <w:p w14:paraId="294D9C5F" w14:textId="77777777" w:rsidR="00886B15" w:rsidRDefault="00886B15">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0" w:type="dxa"/>
      <w:tblBorders>
        <w:insideH w:val="single" w:sz="4" w:space="0" w:color="auto"/>
      </w:tblBorders>
      <w:tblLook w:val="04A0" w:firstRow="1" w:lastRow="0" w:firstColumn="1" w:lastColumn="0" w:noHBand="0" w:noVBand="1"/>
    </w:tblPr>
    <w:tblGrid>
      <w:gridCol w:w="4995"/>
      <w:gridCol w:w="4995"/>
    </w:tblGrid>
    <w:tr w:rsidR="00C044AB" w:rsidRPr="005C59B0" w14:paraId="3C67D6CD" w14:textId="77777777" w:rsidTr="003B4B07">
      <w:trPr>
        <w:trHeight w:val="1142"/>
      </w:trPr>
      <w:tc>
        <w:tcPr>
          <w:tcW w:w="4995" w:type="dxa"/>
          <w:shd w:val="clear" w:color="auto" w:fill="auto"/>
        </w:tcPr>
        <w:p w14:paraId="2413BFB7" w14:textId="77777777" w:rsidR="00C044AB" w:rsidRPr="00D6687E" w:rsidRDefault="00C044AB" w:rsidP="003B4B07">
          <w:pPr>
            <w:pStyle w:val="Header"/>
            <w:rPr>
              <w:rFonts w:cs="Arial"/>
            </w:rPr>
          </w:pPr>
          <w:r>
            <w:rPr>
              <w:rFonts w:ascii="Arial Narrow" w:hAnsi="Arial Narrow" w:cs="Arial"/>
              <w:noProof/>
              <w:lang w:val="en-US"/>
            </w:rPr>
            <w:drawing>
              <wp:inline distT="0" distB="0" distL="0" distR="0" wp14:anchorId="76A84A9D" wp14:editId="31436890">
                <wp:extent cx="971550" cy="457200"/>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shd w:val="clear" w:color="auto" w:fill="auto"/>
        </w:tcPr>
        <w:p w14:paraId="24AEA14E" w14:textId="77777777" w:rsidR="00C044AB" w:rsidRPr="00B76DFF" w:rsidRDefault="00C044AB" w:rsidP="003B4B07">
          <w:pPr>
            <w:pStyle w:val="Header"/>
            <w:jc w:val="right"/>
            <w:rPr>
              <w:rFonts w:ascii="Calibri" w:hAnsi="Calibri" w:cs="Arial"/>
              <w:sz w:val="18"/>
              <w:szCs w:val="18"/>
            </w:rPr>
          </w:pPr>
          <w:r w:rsidRPr="00B76DFF">
            <w:rPr>
              <w:rFonts w:ascii="Calibri" w:hAnsi="Calibri" w:cs="Arial"/>
              <w:sz w:val="18"/>
              <w:szCs w:val="18"/>
            </w:rPr>
            <w:t>United Nations Population Fund</w:t>
          </w:r>
        </w:p>
        <w:p w14:paraId="5A6EEE4C" w14:textId="77777777" w:rsidR="00C044AB" w:rsidRPr="00B76DFF" w:rsidRDefault="00C044AB" w:rsidP="003B4B07">
          <w:pPr>
            <w:pStyle w:val="Header"/>
            <w:jc w:val="right"/>
            <w:rPr>
              <w:rFonts w:ascii="Calibri" w:hAnsi="Calibri" w:cs="Arial"/>
              <w:sz w:val="18"/>
              <w:szCs w:val="18"/>
            </w:rPr>
          </w:pPr>
          <w:r>
            <w:rPr>
              <w:rFonts w:ascii="Calibri" w:hAnsi="Calibri" w:cs="Arial"/>
              <w:sz w:val="18"/>
              <w:szCs w:val="18"/>
            </w:rPr>
            <w:t>Moldova Country Office</w:t>
          </w:r>
        </w:p>
        <w:p w14:paraId="6CB8C5F4" w14:textId="77777777" w:rsidR="00C044AB" w:rsidRPr="000219BB" w:rsidRDefault="00C044AB" w:rsidP="003B4B07">
          <w:pPr>
            <w:pStyle w:val="Header"/>
            <w:jc w:val="right"/>
            <w:rPr>
              <w:rFonts w:ascii="Calibri" w:hAnsi="Calibri" w:cs="Arial"/>
              <w:sz w:val="18"/>
              <w:szCs w:val="18"/>
              <w:lang w:val="da-DK"/>
            </w:rPr>
          </w:pPr>
          <w:r>
            <w:rPr>
              <w:rFonts w:ascii="Calibri" w:hAnsi="Calibri" w:cs="Arial"/>
              <w:sz w:val="18"/>
              <w:szCs w:val="18"/>
              <w:lang w:val="da-DK"/>
            </w:rPr>
            <w:t xml:space="preserve">131, 31 August 1989 str., Chisnau, MD 2012, Moldova </w:t>
          </w:r>
        </w:p>
        <w:p w14:paraId="078F1482" w14:textId="77777777" w:rsidR="00C044AB" w:rsidRPr="000219BB" w:rsidRDefault="00C044AB" w:rsidP="003B4B07">
          <w:pPr>
            <w:pStyle w:val="Header"/>
            <w:jc w:val="right"/>
            <w:rPr>
              <w:rFonts w:ascii="Calibri" w:hAnsi="Calibri" w:cs="Arial"/>
              <w:sz w:val="18"/>
              <w:szCs w:val="18"/>
              <w:lang w:val="da-DK"/>
            </w:rPr>
          </w:pPr>
          <w:r>
            <w:rPr>
              <w:rFonts w:ascii="Calibri" w:hAnsi="Calibri" w:cs="Arial"/>
              <w:sz w:val="18"/>
              <w:szCs w:val="18"/>
              <w:lang w:val="da-DK"/>
            </w:rPr>
            <w:t>E</w:t>
          </w:r>
          <w:r w:rsidRPr="000219BB">
            <w:rPr>
              <w:rFonts w:ascii="Calibri" w:hAnsi="Calibri" w:cs="Arial"/>
              <w:sz w:val="18"/>
              <w:szCs w:val="18"/>
              <w:lang w:val="da-DK"/>
            </w:rPr>
            <w:t>mail</w:t>
          </w:r>
          <w:r w:rsidRPr="00B417ED">
            <w:rPr>
              <w:rFonts w:ascii="Calibri" w:hAnsi="Calibri" w:cs="Arial"/>
              <w:sz w:val="18"/>
              <w:szCs w:val="18"/>
              <w:lang w:val="da-DK"/>
            </w:rPr>
            <w:t xml:space="preserve">: </w:t>
          </w:r>
          <w:r w:rsidRPr="00B417ED">
            <w:rPr>
              <w:rFonts w:ascii="Calibri" w:hAnsi="Calibri" w:cs="Arial"/>
              <w:i/>
              <w:sz w:val="18"/>
              <w:szCs w:val="18"/>
              <w:lang w:val="da-DK"/>
            </w:rPr>
            <w:t>tender.mda@unfpa.org</w:t>
          </w:r>
        </w:p>
        <w:p w14:paraId="1712843D" w14:textId="77777777" w:rsidR="00C044AB" w:rsidRPr="005C59B0" w:rsidRDefault="00C044AB" w:rsidP="003B4B07">
          <w:pPr>
            <w:pStyle w:val="Header"/>
            <w:jc w:val="right"/>
            <w:rPr>
              <w:rFonts w:cs="Arial"/>
              <w:lang w:val="fr-FR"/>
            </w:rPr>
          </w:pPr>
          <w:r w:rsidRPr="005C59B0">
            <w:rPr>
              <w:rFonts w:ascii="Calibri" w:hAnsi="Calibri" w:cs="Arial"/>
              <w:sz w:val="18"/>
              <w:szCs w:val="18"/>
              <w:lang w:val="fr-FR"/>
            </w:rPr>
            <w:t xml:space="preserve">Website: </w:t>
          </w:r>
          <w:hyperlink r:id="rId2" w:history="1">
            <w:r w:rsidRPr="00E31419">
              <w:rPr>
                <w:rFonts w:ascii="Calibri" w:hAnsi="Calibri" w:cs="Arial"/>
                <w:color w:val="003366"/>
                <w:sz w:val="18"/>
                <w:szCs w:val="18"/>
                <w:u w:val="single"/>
                <w:lang w:val="fr-FR"/>
              </w:rPr>
              <w:t>http://moldova.unfpa.org</w:t>
            </w:r>
          </w:hyperlink>
        </w:p>
      </w:tc>
    </w:tr>
  </w:tbl>
  <w:p w14:paraId="33E553A2" w14:textId="77777777" w:rsidR="00C044AB" w:rsidRDefault="00C044A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7464FA"/>
    <w:multiLevelType w:val="hybridMultilevel"/>
    <w:tmpl w:val="45728BE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51555F0B"/>
    <w:multiLevelType w:val="multilevel"/>
    <w:tmpl w:val="1B82ABBE"/>
    <w:lvl w:ilvl="0">
      <w:start w:val="5"/>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6E7E37C8"/>
    <w:multiLevelType w:val="hybridMultilevel"/>
    <w:tmpl w:val="470AAB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7AA26550"/>
    <w:multiLevelType w:val="multilevel"/>
    <w:tmpl w:val="D0B673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094"/>
    <w:rsid w:val="00002895"/>
    <w:rsid w:val="000059E8"/>
    <w:rsid w:val="000151F2"/>
    <w:rsid w:val="00022F87"/>
    <w:rsid w:val="000302FC"/>
    <w:rsid w:val="00033F43"/>
    <w:rsid w:val="00034018"/>
    <w:rsid w:val="0003549D"/>
    <w:rsid w:val="00042341"/>
    <w:rsid w:val="000477CE"/>
    <w:rsid w:val="00051EC5"/>
    <w:rsid w:val="00052F19"/>
    <w:rsid w:val="00054884"/>
    <w:rsid w:val="00054B4A"/>
    <w:rsid w:val="00056446"/>
    <w:rsid w:val="0005787B"/>
    <w:rsid w:val="000578F0"/>
    <w:rsid w:val="000621AA"/>
    <w:rsid w:val="0006348F"/>
    <w:rsid w:val="000642F9"/>
    <w:rsid w:val="00076FF8"/>
    <w:rsid w:val="00082F7D"/>
    <w:rsid w:val="00084181"/>
    <w:rsid w:val="00085688"/>
    <w:rsid w:val="00087BD1"/>
    <w:rsid w:val="00090AEC"/>
    <w:rsid w:val="000A11A3"/>
    <w:rsid w:val="000A1648"/>
    <w:rsid w:val="000A54A8"/>
    <w:rsid w:val="000A558A"/>
    <w:rsid w:val="000B0A17"/>
    <w:rsid w:val="000B2D14"/>
    <w:rsid w:val="000B4D5B"/>
    <w:rsid w:val="000B5FEB"/>
    <w:rsid w:val="000C3E5F"/>
    <w:rsid w:val="000C5538"/>
    <w:rsid w:val="000C6786"/>
    <w:rsid w:val="000D2175"/>
    <w:rsid w:val="000D6C4F"/>
    <w:rsid w:val="000D6E50"/>
    <w:rsid w:val="000E1BA2"/>
    <w:rsid w:val="000E1ED5"/>
    <w:rsid w:val="000E22EE"/>
    <w:rsid w:val="000E61E4"/>
    <w:rsid w:val="00116258"/>
    <w:rsid w:val="001179D7"/>
    <w:rsid w:val="0012076B"/>
    <w:rsid w:val="001236B6"/>
    <w:rsid w:val="00123E3B"/>
    <w:rsid w:val="00133D9D"/>
    <w:rsid w:val="00134C2E"/>
    <w:rsid w:val="001353CB"/>
    <w:rsid w:val="00142B00"/>
    <w:rsid w:val="00152204"/>
    <w:rsid w:val="0015484F"/>
    <w:rsid w:val="00161223"/>
    <w:rsid w:val="0016477C"/>
    <w:rsid w:val="00177773"/>
    <w:rsid w:val="001833E6"/>
    <w:rsid w:val="00193AF9"/>
    <w:rsid w:val="00195258"/>
    <w:rsid w:val="001A0F39"/>
    <w:rsid w:val="001A1A5C"/>
    <w:rsid w:val="001A1FE7"/>
    <w:rsid w:val="001A24F1"/>
    <w:rsid w:val="001A2961"/>
    <w:rsid w:val="001A42D4"/>
    <w:rsid w:val="001A7678"/>
    <w:rsid w:val="001B007D"/>
    <w:rsid w:val="001B2266"/>
    <w:rsid w:val="001C41FD"/>
    <w:rsid w:val="001C5B5E"/>
    <w:rsid w:val="001C5DFE"/>
    <w:rsid w:val="001C760A"/>
    <w:rsid w:val="001D0714"/>
    <w:rsid w:val="001D1DF2"/>
    <w:rsid w:val="001D2ACD"/>
    <w:rsid w:val="001D381A"/>
    <w:rsid w:val="001D6B74"/>
    <w:rsid w:val="001D72B1"/>
    <w:rsid w:val="001E7628"/>
    <w:rsid w:val="001F5C49"/>
    <w:rsid w:val="001F7BC2"/>
    <w:rsid w:val="00214ED6"/>
    <w:rsid w:val="00215DDA"/>
    <w:rsid w:val="0021666C"/>
    <w:rsid w:val="0022078F"/>
    <w:rsid w:val="00232CFC"/>
    <w:rsid w:val="00233FF9"/>
    <w:rsid w:val="0023604B"/>
    <w:rsid w:val="002402B7"/>
    <w:rsid w:val="00245EA1"/>
    <w:rsid w:val="00252112"/>
    <w:rsid w:val="002562B1"/>
    <w:rsid w:val="002569FA"/>
    <w:rsid w:val="00260046"/>
    <w:rsid w:val="00260675"/>
    <w:rsid w:val="002609ED"/>
    <w:rsid w:val="00272436"/>
    <w:rsid w:val="0027798A"/>
    <w:rsid w:val="0028194B"/>
    <w:rsid w:val="002823E7"/>
    <w:rsid w:val="00282830"/>
    <w:rsid w:val="002854F7"/>
    <w:rsid w:val="00290D72"/>
    <w:rsid w:val="00295C25"/>
    <w:rsid w:val="00296A96"/>
    <w:rsid w:val="002A057B"/>
    <w:rsid w:val="002A3496"/>
    <w:rsid w:val="002A3C99"/>
    <w:rsid w:val="002A6BBE"/>
    <w:rsid w:val="002A7CF2"/>
    <w:rsid w:val="002B1680"/>
    <w:rsid w:val="002B27A5"/>
    <w:rsid w:val="002B3CF1"/>
    <w:rsid w:val="002B646E"/>
    <w:rsid w:val="002B67C2"/>
    <w:rsid w:val="002C1D68"/>
    <w:rsid w:val="002C2725"/>
    <w:rsid w:val="002D1DC3"/>
    <w:rsid w:val="002E03B2"/>
    <w:rsid w:val="002E0A13"/>
    <w:rsid w:val="002E25A3"/>
    <w:rsid w:val="002E6E28"/>
    <w:rsid w:val="002F7945"/>
    <w:rsid w:val="00300031"/>
    <w:rsid w:val="00300FC2"/>
    <w:rsid w:val="003042D9"/>
    <w:rsid w:val="00310FEF"/>
    <w:rsid w:val="00314E79"/>
    <w:rsid w:val="00316776"/>
    <w:rsid w:val="003177D4"/>
    <w:rsid w:val="00322921"/>
    <w:rsid w:val="003322A2"/>
    <w:rsid w:val="00334A62"/>
    <w:rsid w:val="003355F6"/>
    <w:rsid w:val="00335737"/>
    <w:rsid w:val="00342CD3"/>
    <w:rsid w:val="0034430D"/>
    <w:rsid w:val="00345536"/>
    <w:rsid w:val="00381D37"/>
    <w:rsid w:val="003826B3"/>
    <w:rsid w:val="003A0D53"/>
    <w:rsid w:val="003A1C53"/>
    <w:rsid w:val="003A4652"/>
    <w:rsid w:val="003B3110"/>
    <w:rsid w:val="003C2427"/>
    <w:rsid w:val="003C2BBA"/>
    <w:rsid w:val="003C41D4"/>
    <w:rsid w:val="003C587A"/>
    <w:rsid w:val="003C73FD"/>
    <w:rsid w:val="003D36D0"/>
    <w:rsid w:val="003D49CA"/>
    <w:rsid w:val="003E3A88"/>
    <w:rsid w:val="003E4DD8"/>
    <w:rsid w:val="003E4EEE"/>
    <w:rsid w:val="003E53EA"/>
    <w:rsid w:val="003F16DE"/>
    <w:rsid w:val="003F320F"/>
    <w:rsid w:val="003F5D11"/>
    <w:rsid w:val="003F76A3"/>
    <w:rsid w:val="00413918"/>
    <w:rsid w:val="00416921"/>
    <w:rsid w:val="00423E19"/>
    <w:rsid w:val="00426A89"/>
    <w:rsid w:val="00430359"/>
    <w:rsid w:val="00432DDE"/>
    <w:rsid w:val="004347E2"/>
    <w:rsid w:val="00436D77"/>
    <w:rsid w:val="004470F1"/>
    <w:rsid w:val="00453F73"/>
    <w:rsid w:val="00454A96"/>
    <w:rsid w:val="00454F0F"/>
    <w:rsid w:val="00455194"/>
    <w:rsid w:val="00470A87"/>
    <w:rsid w:val="00472739"/>
    <w:rsid w:val="00473798"/>
    <w:rsid w:val="00487B57"/>
    <w:rsid w:val="004907B9"/>
    <w:rsid w:val="0049137F"/>
    <w:rsid w:val="00492783"/>
    <w:rsid w:val="004943F0"/>
    <w:rsid w:val="004A4DF8"/>
    <w:rsid w:val="004B1037"/>
    <w:rsid w:val="004B5C52"/>
    <w:rsid w:val="004B7586"/>
    <w:rsid w:val="004C7C44"/>
    <w:rsid w:val="004D04A2"/>
    <w:rsid w:val="004D0B03"/>
    <w:rsid w:val="004D23AA"/>
    <w:rsid w:val="004D7732"/>
    <w:rsid w:val="004D7E52"/>
    <w:rsid w:val="004E2B5A"/>
    <w:rsid w:val="004E2FD1"/>
    <w:rsid w:val="004E6AE5"/>
    <w:rsid w:val="004F17C1"/>
    <w:rsid w:val="004F7563"/>
    <w:rsid w:val="00502BBE"/>
    <w:rsid w:val="00511E8F"/>
    <w:rsid w:val="00521A2B"/>
    <w:rsid w:val="00521FF7"/>
    <w:rsid w:val="005240D5"/>
    <w:rsid w:val="00524A42"/>
    <w:rsid w:val="00526E6D"/>
    <w:rsid w:val="00527ADD"/>
    <w:rsid w:val="00527E7C"/>
    <w:rsid w:val="00535D97"/>
    <w:rsid w:val="00537053"/>
    <w:rsid w:val="00541B34"/>
    <w:rsid w:val="00542B1D"/>
    <w:rsid w:val="0054618C"/>
    <w:rsid w:val="00553EA9"/>
    <w:rsid w:val="0056039D"/>
    <w:rsid w:val="00562CFC"/>
    <w:rsid w:val="0056596A"/>
    <w:rsid w:val="005704D8"/>
    <w:rsid w:val="005712F2"/>
    <w:rsid w:val="00580A1B"/>
    <w:rsid w:val="005844EA"/>
    <w:rsid w:val="005860A4"/>
    <w:rsid w:val="00586BEB"/>
    <w:rsid w:val="00590774"/>
    <w:rsid w:val="0059084C"/>
    <w:rsid w:val="00590CB1"/>
    <w:rsid w:val="005917E8"/>
    <w:rsid w:val="00596AAE"/>
    <w:rsid w:val="00596C96"/>
    <w:rsid w:val="005A3F96"/>
    <w:rsid w:val="005A4307"/>
    <w:rsid w:val="005A5F03"/>
    <w:rsid w:val="005A68E8"/>
    <w:rsid w:val="005A6D64"/>
    <w:rsid w:val="005A6F50"/>
    <w:rsid w:val="005A759A"/>
    <w:rsid w:val="005B2245"/>
    <w:rsid w:val="005B294B"/>
    <w:rsid w:val="005B701C"/>
    <w:rsid w:val="005C1CEC"/>
    <w:rsid w:val="005C291E"/>
    <w:rsid w:val="005C729F"/>
    <w:rsid w:val="005D5B41"/>
    <w:rsid w:val="005E37C5"/>
    <w:rsid w:val="005E4A9C"/>
    <w:rsid w:val="005E5F03"/>
    <w:rsid w:val="005E69C3"/>
    <w:rsid w:val="005E7281"/>
    <w:rsid w:val="00602B0B"/>
    <w:rsid w:val="006055EF"/>
    <w:rsid w:val="00607E15"/>
    <w:rsid w:val="00610951"/>
    <w:rsid w:val="00611CFA"/>
    <w:rsid w:val="0061371C"/>
    <w:rsid w:val="00613BDE"/>
    <w:rsid w:val="00617A28"/>
    <w:rsid w:val="006203AA"/>
    <w:rsid w:val="00622819"/>
    <w:rsid w:val="00625F80"/>
    <w:rsid w:val="00632BB7"/>
    <w:rsid w:val="00637409"/>
    <w:rsid w:val="0064327D"/>
    <w:rsid w:val="00646FCF"/>
    <w:rsid w:val="006470E1"/>
    <w:rsid w:val="006632A4"/>
    <w:rsid w:val="00663BE5"/>
    <w:rsid w:val="00664265"/>
    <w:rsid w:val="006717F3"/>
    <w:rsid w:val="0067484C"/>
    <w:rsid w:val="00675963"/>
    <w:rsid w:val="006776BA"/>
    <w:rsid w:val="0068598A"/>
    <w:rsid w:val="00686453"/>
    <w:rsid w:val="006964A1"/>
    <w:rsid w:val="006A1AFC"/>
    <w:rsid w:val="006A3F16"/>
    <w:rsid w:val="006A50F5"/>
    <w:rsid w:val="006A55D1"/>
    <w:rsid w:val="006B4265"/>
    <w:rsid w:val="006B43E9"/>
    <w:rsid w:val="006B4418"/>
    <w:rsid w:val="006C0E6B"/>
    <w:rsid w:val="006C3C1D"/>
    <w:rsid w:val="006D09D2"/>
    <w:rsid w:val="006D18C0"/>
    <w:rsid w:val="006E0C01"/>
    <w:rsid w:val="006E75B4"/>
    <w:rsid w:val="006F1345"/>
    <w:rsid w:val="006F140F"/>
    <w:rsid w:val="007039E5"/>
    <w:rsid w:val="00704795"/>
    <w:rsid w:val="00704D27"/>
    <w:rsid w:val="007056D7"/>
    <w:rsid w:val="00713B17"/>
    <w:rsid w:val="0071500A"/>
    <w:rsid w:val="00715EF4"/>
    <w:rsid w:val="007204F0"/>
    <w:rsid w:val="00721DEF"/>
    <w:rsid w:val="007227E2"/>
    <w:rsid w:val="00725DC3"/>
    <w:rsid w:val="00727135"/>
    <w:rsid w:val="00732053"/>
    <w:rsid w:val="00732F17"/>
    <w:rsid w:val="0073499C"/>
    <w:rsid w:val="00741790"/>
    <w:rsid w:val="00741D96"/>
    <w:rsid w:val="00746228"/>
    <w:rsid w:val="00747401"/>
    <w:rsid w:val="00763612"/>
    <w:rsid w:val="0076411F"/>
    <w:rsid w:val="0076677F"/>
    <w:rsid w:val="007734BD"/>
    <w:rsid w:val="007762AB"/>
    <w:rsid w:val="00777CAC"/>
    <w:rsid w:val="007807C6"/>
    <w:rsid w:val="007817A0"/>
    <w:rsid w:val="0078314E"/>
    <w:rsid w:val="007A4F1E"/>
    <w:rsid w:val="007A4F7B"/>
    <w:rsid w:val="007B1BC2"/>
    <w:rsid w:val="007B7D56"/>
    <w:rsid w:val="007C5485"/>
    <w:rsid w:val="007C6FE8"/>
    <w:rsid w:val="007D0595"/>
    <w:rsid w:val="007D2881"/>
    <w:rsid w:val="007D5971"/>
    <w:rsid w:val="007D6B30"/>
    <w:rsid w:val="007D7E30"/>
    <w:rsid w:val="007E4CA8"/>
    <w:rsid w:val="007F1C7C"/>
    <w:rsid w:val="007F3D1A"/>
    <w:rsid w:val="007F6D62"/>
    <w:rsid w:val="00800A6B"/>
    <w:rsid w:val="0080103E"/>
    <w:rsid w:val="0080296B"/>
    <w:rsid w:val="008042D2"/>
    <w:rsid w:val="00806875"/>
    <w:rsid w:val="008070E6"/>
    <w:rsid w:val="00812EA7"/>
    <w:rsid w:val="00821409"/>
    <w:rsid w:val="00821BA9"/>
    <w:rsid w:val="00823F3F"/>
    <w:rsid w:val="008255AB"/>
    <w:rsid w:val="00827BB0"/>
    <w:rsid w:val="00835A11"/>
    <w:rsid w:val="00836AB8"/>
    <w:rsid w:val="0083700A"/>
    <w:rsid w:val="008374E3"/>
    <w:rsid w:val="00841213"/>
    <w:rsid w:val="008429BC"/>
    <w:rsid w:val="00856530"/>
    <w:rsid w:val="00856962"/>
    <w:rsid w:val="00857D32"/>
    <w:rsid w:val="00860A51"/>
    <w:rsid w:val="00860B32"/>
    <w:rsid w:val="008628FB"/>
    <w:rsid w:val="00865C88"/>
    <w:rsid w:val="00867572"/>
    <w:rsid w:val="00872C67"/>
    <w:rsid w:val="008741DC"/>
    <w:rsid w:val="0087730A"/>
    <w:rsid w:val="00881CBD"/>
    <w:rsid w:val="00883987"/>
    <w:rsid w:val="00884FA5"/>
    <w:rsid w:val="008858A9"/>
    <w:rsid w:val="00886B15"/>
    <w:rsid w:val="00886EBE"/>
    <w:rsid w:val="00887CF8"/>
    <w:rsid w:val="00890B9E"/>
    <w:rsid w:val="00895E24"/>
    <w:rsid w:val="008A58B1"/>
    <w:rsid w:val="008B0679"/>
    <w:rsid w:val="008B07F9"/>
    <w:rsid w:val="008B55E4"/>
    <w:rsid w:val="008B6B16"/>
    <w:rsid w:val="008B72E2"/>
    <w:rsid w:val="008C23AE"/>
    <w:rsid w:val="008C5085"/>
    <w:rsid w:val="008C59DB"/>
    <w:rsid w:val="008C64CA"/>
    <w:rsid w:val="008D5EAD"/>
    <w:rsid w:val="008D6F47"/>
    <w:rsid w:val="008E1FAF"/>
    <w:rsid w:val="008E32FE"/>
    <w:rsid w:val="0090546D"/>
    <w:rsid w:val="0091019D"/>
    <w:rsid w:val="009127CC"/>
    <w:rsid w:val="0091314C"/>
    <w:rsid w:val="00914B94"/>
    <w:rsid w:val="00922776"/>
    <w:rsid w:val="009427F9"/>
    <w:rsid w:val="00942985"/>
    <w:rsid w:val="0094394A"/>
    <w:rsid w:val="00943EB5"/>
    <w:rsid w:val="00944A28"/>
    <w:rsid w:val="0095421D"/>
    <w:rsid w:val="00960923"/>
    <w:rsid w:val="009609C3"/>
    <w:rsid w:val="00963B29"/>
    <w:rsid w:val="00972B53"/>
    <w:rsid w:val="009801B4"/>
    <w:rsid w:val="009832F5"/>
    <w:rsid w:val="00983433"/>
    <w:rsid w:val="0098537C"/>
    <w:rsid w:val="0099292F"/>
    <w:rsid w:val="00993566"/>
    <w:rsid w:val="0099517D"/>
    <w:rsid w:val="009A6C56"/>
    <w:rsid w:val="009B7516"/>
    <w:rsid w:val="009C1685"/>
    <w:rsid w:val="009C2F65"/>
    <w:rsid w:val="009C3A76"/>
    <w:rsid w:val="009D3089"/>
    <w:rsid w:val="009D43A6"/>
    <w:rsid w:val="009D578B"/>
    <w:rsid w:val="009E00E3"/>
    <w:rsid w:val="009E2F5C"/>
    <w:rsid w:val="009E548C"/>
    <w:rsid w:val="009E62C1"/>
    <w:rsid w:val="009F2610"/>
    <w:rsid w:val="00A02389"/>
    <w:rsid w:val="00A031C5"/>
    <w:rsid w:val="00A03CD2"/>
    <w:rsid w:val="00A071AC"/>
    <w:rsid w:val="00A07DAD"/>
    <w:rsid w:val="00A10E29"/>
    <w:rsid w:val="00A2324C"/>
    <w:rsid w:val="00A378B2"/>
    <w:rsid w:val="00A37AD2"/>
    <w:rsid w:val="00A57ADF"/>
    <w:rsid w:val="00A62787"/>
    <w:rsid w:val="00A63410"/>
    <w:rsid w:val="00A64917"/>
    <w:rsid w:val="00A653EF"/>
    <w:rsid w:val="00A67F4B"/>
    <w:rsid w:val="00A7443E"/>
    <w:rsid w:val="00A80089"/>
    <w:rsid w:val="00A8361D"/>
    <w:rsid w:val="00A869A4"/>
    <w:rsid w:val="00A923F5"/>
    <w:rsid w:val="00A936E9"/>
    <w:rsid w:val="00AA1E20"/>
    <w:rsid w:val="00AA755E"/>
    <w:rsid w:val="00AB3954"/>
    <w:rsid w:val="00AC1043"/>
    <w:rsid w:val="00AC12AD"/>
    <w:rsid w:val="00AC57ED"/>
    <w:rsid w:val="00AC6CED"/>
    <w:rsid w:val="00AD207E"/>
    <w:rsid w:val="00AD222E"/>
    <w:rsid w:val="00AD6D13"/>
    <w:rsid w:val="00AD6DB0"/>
    <w:rsid w:val="00AD6DD3"/>
    <w:rsid w:val="00AE6562"/>
    <w:rsid w:val="00B000F4"/>
    <w:rsid w:val="00B05B20"/>
    <w:rsid w:val="00B067D3"/>
    <w:rsid w:val="00B07BA8"/>
    <w:rsid w:val="00B07CBB"/>
    <w:rsid w:val="00B10729"/>
    <w:rsid w:val="00B21C26"/>
    <w:rsid w:val="00B30827"/>
    <w:rsid w:val="00B42A69"/>
    <w:rsid w:val="00B44FDE"/>
    <w:rsid w:val="00B47E82"/>
    <w:rsid w:val="00B51572"/>
    <w:rsid w:val="00B5325A"/>
    <w:rsid w:val="00B559A7"/>
    <w:rsid w:val="00B55D03"/>
    <w:rsid w:val="00B57303"/>
    <w:rsid w:val="00B60750"/>
    <w:rsid w:val="00B62C09"/>
    <w:rsid w:val="00B9544A"/>
    <w:rsid w:val="00B95852"/>
    <w:rsid w:val="00B96CE1"/>
    <w:rsid w:val="00BA0480"/>
    <w:rsid w:val="00BA183B"/>
    <w:rsid w:val="00BA450E"/>
    <w:rsid w:val="00BA462F"/>
    <w:rsid w:val="00BB621E"/>
    <w:rsid w:val="00BC12D1"/>
    <w:rsid w:val="00BC2D29"/>
    <w:rsid w:val="00BC3B10"/>
    <w:rsid w:val="00BC7D73"/>
    <w:rsid w:val="00BD60A2"/>
    <w:rsid w:val="00BE2305"/>
    <w:rsid w:val="00BE4740"/>
    <w:rsid w:val="00BF01D9"/>
    <w:rsid w:val="00BF2F90"/>
    <w:rsid w:val="00C035C8"/>
    <w:rsid w:val="00C044AB"/>
    <w:rsid w:val="00C0603E"/>
    <w:rsid w:val="00C0726F"/>
    <w:rsid w:val="00C204CF"/>
    <w:rsid w:val="00C230AB"/>
    <w:rsid w:val="00C25F1E"/>
    <w:rsid w:val="00C266DD"/>
    <w:rsid w:val="00C33E5B"/>
    <w:rsid w:val="00C41374"/>
    <w:rsid w:val="00C41444"/>
    <w:rsid w:val="00C428BD"/>
    <w:rsid w:val="00C44EA3"/>
    <w:rsid w:val="00C52A79"/>
    <w:rsid w:val="00C625BE"/>
    <w:rsid w:val="00C63F51"/>
    <w:rsid w:val="00C64116"/>
    <w:rsid w:val="00C73734"/>
    <w:rsid w:val="00C74B03"/>
    <w:rsid w:val="00C74FBD"/>
    <w:rsid w:val="00C80A75"/>
    <w:rsid w:val="00C80D4F"/>
    <w:rsid w:val="00C80DEF"/>
    <w:rsid w:val="00C92C2E"/>
    <w:rsid w:val="00C92E27"/>
    <w:rsid w:val="00C939DC"/>
    <w:rsid w:val="00C96885"/>
    <w:rsid w:val="00CA3836"/>
    <w:rsid w:val="00CA4A2B"/>
    <w:rsid w:val="00CB1CCD"/>
    <w:rsid w:val="00CB28DB"/>
    <w:rsid w:val="00CB2D11"/>
    <w:rsid w:val="00CC32F1"/>
    <w:rsid w:val="00CD14BF"/>
    <w:rsid w:val="00CD7097"/>
    <w:rsid w:val="00CE7DF1"/>
    <w:rsid w:val="00CF0FB0"/>
    <w:rsid w:val="00CF2785"/>
    <w:rsid w:val="00CF2E15"/>
    <w:rsid w:val="00CF398E"/>
    <w:rsid w:val="00CF7513"/>
    <w:rsid w:val="00CF7EE7"/>
    <w:rsid w:val="00D00BD0"/>
    <w:rsid w:val="00D03E64"/>
    <w:rsid w:val="00D06666"/>
    <w:rsid w:val="00D06744"/>
    <w:rsid w:val="00D06B6F"/>
    <w:rsid w:val="00D122B3"/>
    <w:rsid w:val="00D1347D"/>
    <w:rsid w:val="00D23835"/>
    <w:rsid w:val="00D256F4"/>
    <w:rsid w:val="00D26156"/>
    <w:rsid w:val="00D31F1D"/>
    <w:rsid w:val="00D335DD"/>
    <w:rsid w:val="00D421C6"/>
    <w:rsid w:val="00D42BC9"/>
    <w:rsid w:val="00D456F2"/>
    <w:rsid w:val="00D47099"/>
    <w:rsid w:val="00D470AF"/>
    <w:rsid w:val="00D527E1"/>
    <w:rsid w:val="00D63A37"/>
    <w:rsid w:val="00D6429E"/>
    <w:rsid w:val="00D642BC"/>
    <w:rsid w:val="00D7211D"/>
    <w:rsid w:val="00D7418A"/>
    <w:rsid w:val="00D77266"/>
    <w:rsid w:val="00D77D84"/>
    <w:rsid w:val="00D80245"/>
    <w:rsid w:val="00D831F7"/>
    <w:rsid w:val="00D836EF"/>
    <w:rsid w:val="00D837CB"/>
    <w:rsid w:val="00D84343"/>
    <w:rsid w:val="00D867EA"/>
    <w:rsid w:val="00D9710D"/>
    <w:rsid w:val="00DA13B6"/>
    <w:rsid w:val="00DA4E71"/>
    <w:rsid w:val="00DB2975"/>
    <w:rsid w:val="00DB5662"/>
    <w:rsid w:val="00DC4648"/>
    <w:rsid w:val="00DC5748"/>
    <w:rsid w:val="00DD0A1C"/>
    <w:rsid w:val="00DD11B5"/>
    <w:rsid w:val="00DD1865"/>
    <w:rsid w:val="00DD46EB"/>
    <w:rsid w:val="00DD7950"/>
    <w:rsid w:val="00DE158E"/>
    <w:rsid w:val="00DE38EE"/>
    <w:rsid w:val="00DE5A3A"/>
    <w:rsid w:val="00DE6ED1"/>
    <w:rsid w:val="00DE7FEE"/>
    <w:rsid w:val="00DF6061"/>
    <w:rsid w:val="00E04094"/>
    <w:rsid w:val="00E040DE"/>
    <w:rsid w:val="00E0565E"/>
    <w:rsid w:val="00E12049"/>
    <w:rsid w:val="00E15BE0"/>
    <w:rsid w:val="00E16FD6"/>
    <w:rsid w:val="00E246AE"/>
    <w:rsid w:val="00E2657A"/>
    <w:rsid w:val="00E36ED3"/>
    <w:rsid w:val="00E41426"/>
    <w:rsid w:val="00E43F4E"/>
    <w:rsid w:val="00E44364"/>
    <w:rsid w:val="00E46BAC"/>
    <w:rsid w:val="00E47887"/>
    <w:rsid w:val="00E5027E"/>
    <w:rsid w:val="00E56798"/>
    <w:rsid w:val="00E63003"/>
    <w:rsid w:val="00E6576F"/>
    <w:rsid w:val="00E67D42"/>
    <w:rsid w:val="00E725CF"/>
    <w:rsid w:val="00E741E6"/>
    <w:rsid w:val="00E81EE5"/>
    <w:rsid w:val="00E856C8"/>
    <w:rsid w:val="00E869E2"/>
    <w:rsid w:val="00E97EF8"/>
    <w:rsid w:val="00EA12AE"/>
    <w:rsid w:val="00EA28B0"/>
    <w:rsid w:val="00EA50A0"/>
    <w:rsid w:val="00EB1B5B"/>
    <w:rsid w:val="00EB30D5"/>
    <w:rsid w:val="00EB7DE9"/>
    <w:rsid w:val="00EC30DA"/>
    <w:rsid w:val="00EC4A3E"/>
    <w:rsid w:val="00ED2DEB"/>
    <w:rsid w:val="00ED3BDE"/>
    <w:rsid w:val="00ED5EDC"/>
    <w:rsid w:val="00EE059D"/>
    <w:rsid w:val="00EE4CC4"/>
    <w:rsid w:val="00EF07EC"/>
    <w:rsid w:val="00EF35CB"/>
    <w:rsid w:val="00F01650"/>
    <w:rsid w:val="00F03A51"/>
    <w:rsid w:val="00F03B94"/>
    <w:rsid w:val="00F057C5"/>
    <w:rsid w:val="00F20E74"/>
    <w:rsid w:val="00F25372"/>
    <w:rsid w:val="00F255AA"/>
    <w:rsid w:val="00F25CC6"/>
    <w:rsid w:val="00F279E0"/>
    <w:rsid w:val="00F34C4F"/>
    <w:rsid w:val="00F35DB0"/>
    <w:rsid w:val="00F41B67"/>
    <w:rsid w:val="00F47108"/>
    <w:rsid w:val="00F50E15"/>
    <w:rsid w:val="00F52526"/>
    <w:rsid w:val="00F528CA"/>
    <w:rsid w:val="00F57932"/>
    <w:rsid w:val="00F62796"/>
    <w:rsid w:val="00F63127"/>
    <w:rsid w:val="00F634D0"/>
    <w:rsid w:val="00F64AF8"/>
    <w:rsid w:val="00F70173"/>
    <w:rsid w:val="00F72104"/>
    <w:rsid w:val="00F73E05"/>
    <w:rsid w:val="00F807A6"/>
    <w:rsid w:val="00F847CE"/>
    <w:rsid w:val="00F85DB5"/>
    <w:rsid w:val="00F94537"/>
    <w:rsid w:val="00F97DDB"/>
    <w:rsid w:val="00FA194C"/>
    <w:rsid w:val="00FB1514"/>
    <w:rsid w:val="00FB1A27"/>
    <w:rsid w:val="00FD495F"/>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docId w15:val="{D4C4F4F0-8B8E-4C0F-9526-E8BBCA00C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autoRedefine/>
    <w:qFormat/>
    <w:rsid w:val="00A869A4"/>
    <w:pPr>
      <w:keepNext/>
      <w:tabs>
        <w:tab w:val="num" w:pos="810"/>
      </w:tabs>
      <w:overflowPunct w:val="0"/>
      <w:autoSpaceDE w:val="0"/>
      <w:autoSpaceDN w:val="0"/>
      <w:adjustRightInd w:val="0"/>
      <w:spacing w:before="240" w:after="60" w:line="240" w:lineRule="auto"/>
      <w:ind w:left="810" w:hanging="720"/>
      <w:textAlignment w:val="baseline"/>
      <w:outlineLvl w:val="2"/>
    </w:pPr>
    <w:rPr>
      <w:rFonts w:ascii="Times New Roman" w:eastAsia="Times New Roman" w:hAnsi="Times New Roman" w:cs="Arial"/>
      <w:b/>
      <w:bCs/>
      <w:noProof/>
      <w:sz w:val="26"/>
      <w:szCs w:val="26"/>
      <w:lang w:val="fi-FI"/>
    </w:rPr>
  </w:style>
  <w:style w:type="paragraph" w:styleId="Heading4">
    <w:name w:val="heading 4"/>
    <w:basedOn w:val="Normal"/>
    <w:next w:val="Normal"/>
    <w:link w:val="Heading4Char"/>
    <w:qFormat/>
    <w:rsid w:val="00A869A4"/>
    <w:pPr>
      <w:keepNext/>
      <w:tabs>
        <w:tab w:val="num" w:pos="864"/>
      </w:tabs>
      <w:overflowPunct w:val="0"/>
      <w:autoSpaceDE w:val="0"/>
      <w:autoSpaceDN w:val="0"/>
      <w:adjustRightInd w:val="0"/>
      <w:spacing w:before="240" w:after="60" w:line="240" w:lineRule="auto"/>
      <w:ind w:left="864" w:hanging="864"/>
      <w:textAlignment w:val="baseline"/>
      <w:outlineLvl w:val="3"/>
    </w:pPr>
    <w:rPr>
      <w:rFonts w:ascii="Times New Roman" w:eastAsia="Times New Roman" w:hAnsi="Times New Roman" w:cs="Times New Roman"/>
      <w:b/>
      <w:bCs/>
      <w:noProof/>
      <w:sz w:val="24"/>
      <w:szCs w:val="28"/>
      <w:lang w:val="fi-FI"/>
    </w:rPr>
  </w:style>
  <w:style w:type="paragraph" w:styleId="Heading5">
    <w:name w:val="heading 5"/>
    <w:basedOn w:val="Normal"/>
    <w:next w:val="Normal"/>
    <w:link w:val="Heading5Char"/>
    <w:qFormat/>
    <w:rsid w:val="00A869A4"/>
    <w:pPr>
      <w:tabs>
        <w:tab w:val="num" w:pos="1008"/>
      </w:tabs>
      <w:overflowPunct w:val="0"/>
      <w:autoSpaceDE w:val="0"/>
      <w:autoSpaceDN w:val="0"/>
      <w:adjustRightInd w:val="0"/>
      <w:spacing w:before="240" w:after="60" w:line="240" w:lineRule="auto"/>
      <w:ind w:left="1008" w:hanging="1008"/>
      <w:textAlignment w:val="baseline"/>
      <w:outlineLvl w:val="4"/>
    </w:pPr>
    <w:rPr>
      <w:rFonts w:ascii="Times New Roman" w:eastAsia="Times New Roman" w:hAnsi="Times New Roman" w:cs="Times New Roman"/>
      <w:b/>
      <w:bCs/>
      <w:i/>
      <w:iCs/>
      <w:noProof/>
      <w:sz w:val="26"/>
      <w:szCs w:val="26"/>
      <w:lang w:val="fi-FI"/>
    </w:rPr>
  </w:style>
  <w:style w:type="paragraph" w:styleId="Heading7">
    <w:name w:val="heading 7"/>
    <w:basedOn w:val="Normal"/>
    <w:next w:val="Normal"/>
    <w:link w:val="Heading7Char"/>
    <w:qFormat/>
    <w:rsid w:val="00A869A4"/>
    <w:pPr>
      <w:tabs>
        <w:tab w:val="num" w:pos="1296"/>
      </w:tabs>
      <w:overflowPunct w:val="0"/>
      <w:autoSpaceDE w:val="0"/>
      <w:autoSpaceDN w:val="0"/>
      <w:adjustRightInd w:val="0"/>
      <w:spacing w:before="240" w:after="60" w:line="240" w:lineRule="auto"/>
      <w:ind w:left="1296" w:hanging="1296"/>
      <w:textAlignment w:val="baseline"/>
      <w:outlineLvl w:val="6"/>
    </w:pPr>
    <w:rPr>
      <w:rFonts w:ascii="Times New Roman" w:eastAsia="Times New Roman" w:hAnsi="Times New Roman" w:cs="Times New Roman"/>
      <w:noProof/>
      <w:sz w:val="24"/>
      <w:szCs w:val="24"/>
      <w:lang w:val="fi-FI"/>
    </w:rPr>
  </w:style>
  <w:style w:type="paragraph" w:styleId="Heading8">
    <w:name w:val="heading 8"/>
    <w:basedOn w:val="Normal"/>
    <w:next w:val="Normal"/>
    <w:link w:val="Heading8Char"/>
    <w:qFormat/>
    <w:rsid w:val="00A869A4"/>
    <w:pPr>
      <w:tabs>
        <w:tab w:val="num" w:pos="1440"/>
      </w:tabs>
      <w:overflowPunct w:val="0"/>
      <w:autoSpaceDE w:val="0"/>
      <w:autoSpaceDN w:val="0"/>
      <w:adjustRightInd w:val="0"/>
      <w:spacing w:before="240" w:after="60" w:line="240" w:lineRule="auto"/>
      <w:ind w:left="1440" w:hanging="1440"/>
      <w:textAlignment w:val="baseline"/>
      <w:outlineLvl w:val="7"/>
    </w:pPr>
    <w:rPr>
      <w:rFonts w:ascii="Times New Roman" w:eastAsia="Times New Roman" w:hAnsi="Times New Roman" w:cs="Times New Roman"/>
      <w:i/>
      <w:iCs/>
      <w:noProof/>
      <w:sz w:val="24"/>
      <w:szCs w:val="24"/>
      <w:lang w:val="fi-FI"/>
    </w:rPr>
  </w:style>
  <w:style w:type="paragraph" w:styleId="Heading9">
    <w:name w:val="heading 9"/>
    <w:basedOn w:val="Normal"/>
    <w:next w:val="Normal"/>
    <w:link w:val="Heading9Char"/>
    <w:qFormat/>
    <w:rsid w:val="00A869A4"/>
    <w:pPr>
      <w:tabs>
        <w:tab w:val="num" w:pos="1584"/>
      </w:tabs>
      <w:overflowPunct w:val="0"/>
      <w:autoSpaceDE w:val="0"/>
      <w:autoSpaceDN w:val="0"/>
      <w:adjustRightInd w:val="0"/>
      <w:spacing w:before="240" w:after="60" w:line="240" w:lineRule="auto"/>
      <w:ind w:left="1584" w:hanging="1584"/>
      <w:textAlignment w:val="baseline"/>
      <w:outlineLvl w:val="8"/>
    </w:pPr>
    <w:rPr>
      <w:rFonts w:ascii="Times New Roman" w:eastAsia="Times New Roman" w:hAnsi="Times New Roman" w:cs="Arial"/>
      <w:noProof/>
      <w:lang w:val="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nhideWhenUsed/>
    <w:rsid w:val="00E46BAC"/>
    <w:pPr>
      <w:spacing w:after="120"/>
    </w:pPr>
  </w:style>
  <w:style w:type="character" w:customStyle="1" w:styleId="BodyTextChar">
    <w:name w:val="Body Text Char"/>
    <w:basedOn w:val="DefaultParagraphFont"/>
    <w:link w:val="BodyText"/>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Heading3Char">
    <w:name w:val="Heading 3 Char"/>
    <w:basedOn w:val="DefaultParagraphFont"/>
    <w:link w:val="Heading3"/>
    <w:rsid w:val="00A869A4"/>
    <w:rPr>
      <w:rFonts w:ascii="Times New Roman" w:eastAsia="Times New Roman" w:hAnsi="Times New Roman" w:cs="Arial"/>
      <w:b/>
      <w:bCs/>
      <w:noProof/>
      <w:sz w:val="26"/>
      <w:szCs w:val="26"/>
      <w:lang w:val="fi-FI"/>
    </w:rPr>
  </w:style>
  <w:style w:type="character" w:customStyle="1" w:styleId="Heading4Char">
    <w:name w:val="Heading 4 Char"/>
    <w:basedOn w:val="DefaultParagraphFont"/>
    <w:link w:val="Heading4"/>
    <w:rsid w:val="00A869A4"/>
    <w:rPr>
      <w:rFonts w:ascii="Times New Roman" w:eastAsia="Times New Roman" w:hAnsi="Times New Roman" w:cs="Times New Roman"/>
      <w:b/>
      <w:bCs/>
      <w:noProof/>
      <w:sz w:val="24"/>
      <w:szCs w:val="28"/>
      <w:lang w:val="fi-FI"/>
    </w:rPr>
  </w:style>
  <w:style w:type="character" w:customStyle="1" w:styleId="Heading5Char">
    <w:name w:val="Heading 5 Char"/>
    <w:basedOn w:val="DefaultParagraphFont"/>
    <w:link w:val="Heading5"/>
    <w:rsid w:val="00A869A4"/>
    <w:rPr>
      <w:rFonts w:ascii="Times New Roman" w:eastAsia="Times New Roman" w:hAnsi="Times New Roman" w:cs="Times New Roman"/>
      <w:b/>
      <w:bCs/>
      <w:i/>
      <w:iCs/>
      <w:noProof/>
      <w:sz w:val="26"/>
      <w:szCs w:val="26"/>
      <w:lang w:val="fi-FI"/>
    </w:rPr>
  </w:style>
  <w:style w:type="character" w:customStyle="1" w:styleId="Heading7Char">
    <w:name w:val="Heading 7 Char"/>
    <w:basedOn w:val="DefaultParagraphFont"/>
    <w:link w:val="Heading7"/>
    <w:rsid w:val="00A869A4"/>
    <w:rPr>
      <w:rFonts w:ascii="Times New Roman" w:eastAsia="Times New Roman" w:hAnsi="Times New Roman" w:cs="Times New Roman"/>
      <w:noProof/>
      <w:sz w:val="24"/>
      <w:szCs w:val="24"/>
      <w:lang w:val="fi-FI"/>
    </w:rPr>
  </w:style>
  <w:style w:type="character" w:customStyle="1" w:styleId="Heading8Char">
    <w:name w:val="Heading 8 Char"/>
    <w:basedOn w:val="DefaultParagraphFont"/>
    <w:link w:val="Heading8"/>
    <w:rsid w:val="00A869A4"/>
    <w:rPr>
      <w:rFonts w:ascii="Times New Roman" w:eastAsia="Times New Roman" w:hAnsi="Times New Roman" w:cs="Times New Roman"/>
      <w:i/>
      <w:iCs/>
      <w:noProof/>
      <w:sz w:val="24"/>
      <w:szCs w:val="24"/>
      <w:lang w:val="fi-FI"/>
    </w:rPr>
  </w:style>
  <w:style w:type="character" w:customStyle="1" w:styleId="Heading9Char">
    <w:name w:val="Heading 9 Char"/>
    <w:basedOn w:val="DefaultParagraphFont"/>
    <w:link w:val="Heading9"/>
    <w:rsid w:val="00A869A4"/>
    <w:rPr>
      <w:rFonts w:ascii="Times New Roman" w:eastAsia="Times New Roman" w:hAnsi="Times New Roman" w:cs="Arial"/>
      <w:noProof/>
      <w:lang w:val="fi-FI"/>
    </w:rPr>
  </w:style>
  <w:style w:type="numbering" w:customStyle="1" w:styleId="1">
    <w:name w:val="Нет списка1"/>
    <w:next w:val="NoList"/>
    <w:uiPriority w:val="99"/>
    <w:semiHidden/>
    <w:unhideWhenUsed/>
    <w:rsid w:val="00A869A4"/>
  </w:style>
  <w:style w:type="paragraph" w:styleId="Revision">
    <w:name w:val="Revision"/>
    <w:hidden/>
    <w:uiPriority w:val="99"/>
    <w:semiHidden/>
    <w:rsid w:val="00A869A4"/>
    <w:pPr>
      <w:spacing w:after="0" w:line="240" w:lineRule="auto"/>
    </w:pPr>
    <w:rPr>
      <w:lang w:val="ru-RU"/>
    </w:rPr>
  </w:style>
  <w:style w:type="paragraph" w:customStyle="1" w:styleId="Default">
    <w:name w:val="Default"/>
    <w:rsid w:val="00A869A4"/>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NormalWeb">
    <w:name w:val="Normal (Web)"/>
    <w:basedOn w:val="Normal"/>
    <w:uiPriority w:val="99"/>
    <w:semiHidden/>
    <w:unhideWhenUsed/>
    <w:rsid w:val="00A869A4"/>
    <w:pPr>
      <w:spacing w:before="100" w:beforeAutospacing="1" w:after="100" w:afterAutospacing="1" w:line="240" w:lineRule="auto"/>
    </w:pPr>
    <w:rPr>
      <w:rFonts w:ascii="Times New Roman" w:eastAsia="Times New Roman" w:hAnsi="Times New Roman" w:cs="Times New Roman"/>
      <w:sz w:val="24"/>
      <w:szCs w:val="24"/>
      <w:lang w:val="ro-RO" w:eastAsia="ru-RU"/>
    </w:rPr>
  </w:style>
  <w:style w:type="character" w:customStyle="1" w:styleId="apple-converted-space">
    <w:name w:val="apple-converted-space"/>
    <w:basedOn w:val="DefaultParagraphFont"/>
    <w:rsid w:val="00A869A4"/>
  </w:style>
  <w:style w:type="character" w:customStyle="1" w:styleId="docheader">
    <w:name w:val="doc_header"/>
    <w:basedOn w:val="DefaultParagraphFont"/>
    <w:rsid w:val="00A869A4"/>
  </w:style>
  <w:style w:type="paragraph" w:customStyle="1" w:styleId="Outline">
    <w:name w:val="Outline"/>
    <w:basedOn w:val="Normal"/>
    <w:rsid w:val="008741DC"/>
    <w:pPr>
      <w:spacing w:before="240" w:after="0" w:line="240" w:lineRule="auto"/>
    </w:pPr>
    <w:rPr>
      <w:rFonts w:ascii="Times New Roman" w:eastAsia="Times New Roman" w:hAnsi="Times New Roman" w:cs="Times New Roman"/>
      <w:kern w:val="28"/>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moldova.unfpa.or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3.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3.xml><?xml version="1.0" encoding="utf-8"?>
<ds:datastoreItem xmlns:ds="http://schemas.openxmlformats.org/officeDocument/2006/customXml" ds:itemID="{4122B9E4-9A50-4736-AF58-683E944C88B2}">
  <ds:schemaRefs>
    <ds:schemaRef ds:uri="office.server.policy"/>
  </ds:schemaRefs>
</ds:datastoreItem>
</file>

<file path=customXml/itemProps4.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6.xml><?xml version="1.0" encoding="utf-8"?>
<ds:datastoreItem xmlns:ds="http://schemas.openxmlformats.org/officeDocument/2006/customXml" ds:itemID="{3F77AA9D-6878-4D21-8D92-7B22257C2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4188</TotalTime>
  <Pages>9</Pages>
  <Words>3912</Words>
  <Characters>22304</Characters>
  <Application>Microsoft Office Word</Application>
  <DocSecurity>0</DocSecurity>
  <Lines>185</Lines>
  <Paragraphs>52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
      <vt:lpstr/>
      <vt:lpstr/>
    </vt:vector>
  </TitlesOfParts>
  <Company>SPecialiST RePack</Company>
  <LinksUpToDate>false</LinksUpToDate>
  <CharactersWithSpaces>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Adenike Akoh</dc:creator>
  <cp:lastModifiedBy>mariana.nerpii</cp:lastModifiedBy>
  <cp:revision>11</cp:revision>
  <cp:lastPrinted>2019-03-29T10:15:00Z</cp:lastPrinted>
  <dcterms:created xsi:type="dcterms:W3CDTF">2020-12-05T09:06:00Z</dcterms:created>
  <dcterms:modified xsi:type="dcterms:W3CDTF">2021-06-07T09:09:00Z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