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F62403" w14:paraId="4505CE14" w14:textId="77777777" w:rsidTr="00A25ACA">
        <w:tc>
          <w:tcPr>
            <w:tcW w:w="4106" w:type="dxa"/>
          </w:tcPr>
          <w:p w14:paraId="4D00450D" w14:textId="4EA01CD2" w:rsidR="00F62403" w:rsidRPr="00F62403" w:rsidRDefault="00F62403" w:rsidP="00F62403">
            <w:pPr>
              <w:jc w:val="center"/>
              <w:rPr>
                <w:b/>
                <w:bCs/>
              </w:rPr>
            </w:pPr>
            <w:r w:rsidRPr="00F62403">
              <w:rPr>
                <w:b/>
                <w:bCs/>
              </w:rPr>
              <w:t>Вопрос к Отделу закупок от 11.08.2021</w:t>
            </w:r>
          </w:p>
        </w:tc>
        <w:tc>
          <w:tcPr>
            <w:tcW w:w="5528" w:type="dxa"/>
          </w:tcPr>
          <w:p w14:paraId="1E65DE17" w14:textId="6A12B4AD" w:rsidR="00F62403" w:rsidRPr="00F62403" w:rsidRDefault="00F62403" w:rsidP="00F62403">
            <w:pPr>
              <w:jc w:val="center"/>
              <w:rPr>
                <w:b/>
                <w:bCs/>
              </w:rPr>
            </w:pPr>
            <w:r w:rsidRPr="00F62403">
              <w:rPr>
                <w:b/>
                <w:bCs/>
              </w:rPr>
              <w:t>Ответ Отдела закупок от 16.08.2021</w:t>
            </w:r>
          </w:p>
        </w:tc>
      </w:tr>
      <w:tr w:rsidR="00F62403" w:rsidRPr="00F62403" w14:paraId="160904D9" w14:textId="77777777" w:rsidTr="00A25ACA">
        <w:tc>
          <w:tcPr>
            <w:tcW w:w="4106" w:type="dxa"/>
          </w:tcPr>
          <w:p w14:paraId="0ABFB82D" w14:textId="4A79F0BB" w:rsidR="00F62403" w:rsidRPr="00F62403" w:rsidRDefault="00F62403" w:rsidP="00A7031C">
            <w:pPr>
              <w:jc w:val="both"/>
            </w:pPr>
            <w:r>
              <w:t>1. В разделе «Критерии оценки технического предложения», пункт «Структура управления и квалификации ключевого персонала» руководителю проекта с наибольшим стажем (8 лет и больше) присваивается 10 баллов. Вместе с тем максимальный балл по данному пункту составляет 40. Возможно здесь опечатка?</w:t>
            </w:r>
          </w:p>
        </w:tc>
        <w:tc>
          <w:tcPr>
            <w:tcW w:w="5528" w:type="dxa"/>
          </w:tcPr>
          <w:p w14:paraId="780940D4" w14:textId="70BA84CB" w:rsidR="00F62403" w:rsidRPr="00F62403" w:rsidRDefault="00F62403" w:rsidP="00A7031C">
            <w:pPr>
              <w:jc w:val="both"/>
            </w:pPr>
            <w:r w:rsidRPr="00F62403">
              <w:t>1.</w:t>
            </w:r>
            <w:r w:rsidRPr="00F62403">
              <w:tab/>
              <w:t>В разделе «Критерии оценки технического предложения», пункт «Структура управления и квалификации ключевого персонала» руководителю проекта с наибольшим стажем (8 лет и больше) присваивается 10 баллов – опечатка, дополнение к Запросу на подачу предложения прикреплено к конкурсной документации на сайте объявления (см. файл «</w:t>
            </w:r>
            <w:proofErr w:type="spellStart"/>
            <w:r w:rsidRPr="00F62403">
              <w:t>Amendment</w:t>
            </w:r>
            <w:proofErr w:type="spellEnd"/>
            <w:r w:rsidRPr="00F62403">
              <w:t xml:space="preserve"> 1 </w:t>
            </w:r>
            <w:proofErr w:type="spellStart"/>
            <w:r w:rsidRPr="00F62403">
              <w:t>to</w:t>
            </w:r>
            <w:proofErr w:type="spellEnd"/>
            <w:r w:rsidRPr="00F62403">
              <w:t xml:space="preserve"> RFP-2021-058_RUS»).</w:t>
            </w:r>
          </w:p>
        </w:tc>
      </w:tr>
      <w:tr w:rsidR="00F62403" w:rsidRPr="00F62403" w14:paraId="676B65EC" w14:textId="77777777" w:rsidTr="00A25ACA">
        <w:tc>
          <w:tcPr>
            <w:tcW w:w="4106" w:type="dxa"/>
          </w:tcPr>
          <w:p w14:paraId="0736633F" w14:textId="06FB2DF8" w:rsidR="00F62403" w:rsidRDefault="00D26053" w:rsidP="00A25ACA">
            <w:r>
              <w:t>2. В объявлении указано «ПРООН заключит контракт с: Одним и только одним Поставщиком</w:t>
            </w:r>
            <w:r w:rsidR="00A25ACA">
              <w:t xml:space="preserve"> </w:t>
            </w:r>
            <w:r>
              <w:t>услуг». Может ли консорциум из двух участников участвовать в конкурсе?</w:t>
            </w:r>
          </w:p>
        </w:tc>
        <w:tc>
          <w:tcPr>
            <w:tcW w:w="5528" w:type="dxa"/>
          </w:tcPr>
          <w:p w14:paraId="1FFB55E6" w14:textId="77777777" w:rsidR="00A25ACA" w:rsidRDefault="00A25ACA" w:rsidP="00A25ACA">
            <w:pPr>
              <w:jc w:val="both"/>
            </w:pPr>
            <w:r>
              <w:t xml:space="preserve">2. Консорциум из 2‐х участников может участвовать в конкурсе. Согласно закупочным правилам ПРООН </w:t>
            </w:r>
          </w:p>
          <w:p w14:paraId="081B26B5" w14:textId="77777777" w:rsidR="00A25ACA" w:rsidRDefault="00A25ACA" w:rsidP="00A25ACA">
            <w:pPr>
              <w:jc w:val="both"/>
            </w:pPr>
            <w:r>
              <w:t>относительно участия Консорциума, пожалуйста, ознакомьтесь со следующей информацией:</w:t>
            </w:r>
          </w:p>
          <w:p w14:paraId="14A8B28B" w14:textId="77777777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Если Участником Торгов является группа юридических лиц, которые создадут или создали Совместное </w:t>
            </w:r>
          </w:p>
          <w:p w14:paraId="26D6283C" w14:textId="77777777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предприятие (СП), Консорциум или Ассоциацию для участия в Торгах, они должны подтвердить в своей </w:t>
            </w:r>
          </w:p>
          <w:p w14:paraId="00D23FF2" w14:textId="5EBC3FE3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Заявке, </w:t>
            </w:r>
            <w:r w:rsidRPr="00A25ACA">
              <w:rPr>
                <w:i/>
                <w:iCs/>
              </w:rPr>
              <w:t>что:</w:t>
            </w:r>
          </w:p>
          <w:p w14:paraId="1CEBD898" w14:textId="5FFF01E9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>(i) они назначили одну сторону в качестве ведущей организации, должным образом наделенной</w:t>
            </w:r>
            <w:r>
              <w:rPr>
                <w:i/>
                <w:iCs/>
              </w:rPr>
              <w:t xml:space="preserve"> </w:t>
            </w:r>
          </w:p>
          <w:p w14:paraId="0C6456D7" w14:textId="077E9498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>полномочиями юридически связывать членов СП, Консорциума или Ассоциации совместно и по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отдельности, что должно быть подтверждено надлежащим образом нотариально</w:t>
            </w:r>
            <w:r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 xml:space="preserve">заверенным Соглашением между юридическими лицами и представлено вместе с Заявкой; и  </w:t>
            </w:r>
          </w:p>
          <w:p w14:paraId="7E9C867F" w14:textId="3891E6B6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>(</w:t>
            </w:r>
            <w:proofErr w:type="spellStart"/>
            <w:r w:rsidRPr="00A25ACA">
              <w:rPr>
                <w:i/>
                <w:iCs/>
              </w:rPr>
              <w:t>ii</w:t>
            </w:r>
            <w:proofErr w:type="spellEnd"/>
            <w:r w:rsidRPr="00A25ACA">
              <w:rPr>
                <w:i/>
                <w:iCs/>
              </w:rPr>
              <w:t>) если они получат контракт, контракт должен быть заключен ПРООН и назначенным ведущим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учреждением и между ними, которое будет действовать от имени и от имени всех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 xml:space="preserve">организаций‐членов, входящих в совместное предприятие.  </w:t>
            </w:r>
          </w:p>
          <w:p w14:paraId="3E298537" w14:textId="0F2F2325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>После истечения Крайнего срока подачи Заявки ведущая организация, определенная для представления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СП, Консорциума или Ассоциации, не должна быть изменена без предварительного письменного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 xml:space="preserve">согласия ПРООН.  </w:t>
            </w:r>
          </w:p>
          <w:p w14:paraId="44940BC1" w14:textId="17CB3B62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>Ведущая организация и организации‐члены СП, Консорциума или Ассоциации должны соблюдать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положения … в отношении подачи только одной Заявки.</w:t>
            </w:r>
          </w:p>
          <w:p w14:paraId="6A67C2ED" w14:textId="37D708CC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>Описание организации СП, Консорциума или Ассоциации должно четко определять ожидаемую роль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каждой из организаций совместного предприятия в выполнении требований конкурса, как в Заявке,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так и в Соглашении о СП, Консорциуме или Ассоциации. Все организации, входящие в СП, Консорциум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или Ассоциацию, подлежат оценке соответствия требованиям и квалификации со стороны ПРООН.</w:t>
            </w:r>
          </w:p>
          <w:p w14:paraId="29ADEC52" w14:textId="77777777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СП, Консорциум или Ассоциация при представлении своего послужного списка и опыта должны четко </w:t>
            </w:r>
          </w:p>
          <w:p w14:paraId="104FC0B0" w14:textId="77777777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различать:  </w:t>
            </w:r>
          </w:p>
          <w:p w14:paraId="5E9FCA92" w14:textId="77777777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а) Те, которые были предприняты совместно СП, Консорциумом или Ассоциацией; и  </w:t>
            </w:r>
          </w:p>
          <w:p w14:paraId="332B2A71" w14:textId="77777777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t xml:space="preserve">б) те, которые были предприняты отдельными организациями СП, Консорциума или Ассоциации.  </w:t>
            </w:r>
          </w:p>
          <w:p w14:paraId="137DAF2E" w14:textId="7ACEB09A" w:rsidR="00A25ACA" w:rsidRPr="00A25ACA" w:rsidRDefault="00A25ACA" w:rsidP="00A25ACA">
            <w:pPr>
              <w:jc w:val="both"/>
              <w:rPr>
                <w:i/>
                <w:iCs/>
              </w:rPr>
            </w:pPr>
            <w:r w:rsidRPr="00A25ACA">
              <w:rPr>
                <w:i/>
                <w:iCs/>
              </w:rPr>
              <w:lastRenderedPageBreak/>
              <w:t>Предыдущие контракты, заключенные отдельными экспертами, работающими в частном порядке,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но которые постоянно или временно связаны с какой‐либо из фирм‐членов, не могут быть заявлены в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качестве опыта СП, Консорциума или Ассоциации или ее членов, но должны быть заявлены только</w:t>
            </w:r>
            <w:r w:rsidR="00482345">
              <w:rPr>
                <w:i/>
                <w:iCs/>
              </w:rPr>
              <w:t xml:space="preserve"> </w:t>
            </w:r>
            <w:r w:rsidRPr="00A25ACA">
              <w:rPr>
                <w:i/>
                <w:iCs/>
              </w:rPr>
              <w:t>самими отдельными экспертами при представлении их индивидуальных полномочий.</w:t>
            </w:r>
          </w:p>
          <w:p w14:paraId="4C8A0EED" w14:textId="4A5DACA6" w:rsidR="00F62403" w:rsidRPr="00302C65" w:rsidRDefault="00A25ACA" w:rsidP="00482345">
            <w:pPr>
              <w:jc w:val="both"/>
              <w:rPr>
                <w:b/>
                <w:bCs/>
              </w:rPr>
            </w:pPr>
            <w:r w:rsidRPr="00302C65">
              <w:rPr>
                <w:b/>
                <w:bCs/>
                <w:i/>
                <w:iCs/>
              </w:rPr>
              <w:t>Все требования к предоставлению документов распространяются на всех участников</w:t>
            </w:r>
            <w:r w:rsidR="00482345" w:rsidRPr="00302C65">
              <w:rPr>
                <w:b/>
                <w:bCs/>
                <w:i/>
                <w:iCs/>
              </w:rPr>
              <w:t xml:space="preserve"> </w:t>
            </w:r>
            <w:r w:rsidRPr="00302C65">
              <w:rPr>
                <w:b/>
                <w:bCs/>
                <w:i/>
                <w:iCs/>
              </w:rPr>
              <w:t>Консорциума.</w:t>
            </w:r>
          </w:p>
        </w:tc>
      </w:tr>
      <w:tr w:rsidR="00F62403" w:rsidRPr="00F62403" w14:paraId="769F30D9" w14:textId="77777777" w:rsidTr="00A25ACA">
        <w:tc>
          <w:tcPr>
            <w:tcW w:w="4106" w:type="dxa"/>
          </w:tcPr>
          <w:p w14:paraId="6464513A" w14:textId="582D70C5" w:rsidR="00F62403" w:rsidRDefault="00302C65" w:rsidP="00302C65">
            <w:pPr>
              <w:jc w:val="both"/>
            </w:pPr>
            <w:r>
              <w:lastRenderedPageBreak/>
              <w:t>3. В объявлении указано, что ожидаемая длительность исполнения задания составляет 5 месяцев и, при условии начала исполнения в августе текущего года, срок окончания составит 31 декабря 2021</w:t>
            </w:r>
            <w:r>
              <w:t xml:space="preserve"> </w:t>
            </w:r>
            <w:r>
              <w:t>года. Вместе с тем, в предложенном графике отражена длительность исполнения задания как 6</w:t>
            </w:r>
            <w:r>
              <w:t xml:space="preserve"> </w:t>
            </w:r>
            <w:r>
              <w:t>месяцев. Учитывая актуальные сроки подачи заявки, мы ожидаем начало работ в сентябре текущего</w:t>
            </w:r>
            <w:r>
              <w:t xml:space="preserve"> </w:t>
            </w:r>
            <w:r>
              <w:t>года. Уточните, пожалуйста, ожидаемую длительность исполнения задания.</w:t>
            </w:r>
          </w:p>
        </w:tc>
        <w:tc>
          <w:tcPr>
            <w:tcW w:w="5528" w:type="dxa"/>
          </w:tcPr>
          <w:p w14:paraId="72C96A84" w14:textId="77777777" w:rsidR="00A7031C" w:rsidRDefault="00A7031C" w:rsidP="00A7031C">
            <w:pPr>
              <w:jc w:val="both"/>
            </w:pPr>
            <w:r>
              <w:t xml:space="preserve">3. Ожидаемая длительность исполнения услуг составляет 5 месяцев, откорректированный график </w:t>
            </w:r>
          </w:p>
          <w:p w14:paraId="3408425E" w14:textId="77777777" w:rsidR="00A7031C" w:rsidRDefault="00A7031C" w:rsidP="00A7031C">
            <w:pPr>
              <w:jc w:val="both"/>
            </w:pPr>
            <w:r>
              <w:t>прикреплен к конкурсной документации на сайте объявления (см. файл «</w:t>
            </w:r>
            <w:proofErr w:type="spellStart"/>
            <w:r>
              <w:t>Amendment</w:t>
            </w:r>
            <w:proofErr w:type="spellEnd"/>
            <w:r>
              <w:t xml:space="preserve"> 1 </w:t>
            </w:r>
            <w:proofErr w:type="spellStart"/>
            <w:r>
              <w:t>to</w:t>
            </w:r>
            <w:proofErr w:type="spellEnd"/>
            <w:r>
              <w:t xml:space="preserve"> RFP‐2021‐</w:t>
            </w:r>
          </w:p>
          <w:p w14:paraId="778CFBA7" w14:textId="3BE6D6A8" w:rsidR="00F62403" w:rsidRPr="00F62403" w:rsidRDefault="00A7031C" w:rsidP="00A7031C">
            <w:pPr>
              <w:jc w:val="both"/>
            </w:pPr>
            <w:r>
              <w:t>058_RUS»)</w:t>
            </w:r>
          </w:p>
        </w:tc>
      </w:tr>
    </w:tbl>
    <w:p w14:paraId="3D6B9C7D" w14:textId="1CF75B42" w:rsidR="00CE0201" w:rsidRPr="00F62403" w:rsidRDefault="00CE0201"/>
    <w:sectPr w:rsidR="00CE0201" w:rsidRPr="00F62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03"/>
    <w:rsid w:val="00302C65"/>
    <w:rsid w:val="003C79A4"/>
    <w:rsid w:val="00482345"/>
    <w:rsid w:val="00A25ACA"/>
    <w:rsid w:val="00A7031C"/>
    <w:rsid w:val="00C70887"/>
    <w:rsid w:val="00CE0201"/>
    <w:rsid w:val="00D26053"/>
    <w:rsid w:val="00F30338"/>
    <w:rsid w:val="00F6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105DE"/>
  <w15:chartTrackingRefBased/>
  <w15:docId w15:val="{BF45C64E-34D3-4CAA-82C6-72DBD1CC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87"/>
    <w:rPr>
      <w:rFonts w:ascii="Times New Roman" w:hAnsi="Times New Roman"/>
      <w:sz w:val="22"/>
      <w:szCs w:val="22"/>
      <w:lang w:val="ru-RU"/>
    </w:rPr>
  </w:style>
  <w:style w:type="paragraph" w:styleId="Heading1">
    <w:name w:val="heading 1"/>
    <w:basedOn w:val="Normal"/>
    <w:link w:val="Heading1Char"/>
    <w:uiPriority w:val="1"/>
    <w:qFormat/>
    <w:rsid w:val="00C70887"/>
    <w:pPr>
      <w:widowControl w:val="0"/>
      <w:autoSpaceDE w:val="0"/>
      <w:autoSpaceDN w:val="0"/>
      <w:ind w:left="2002" w:right="1973"/>
      <w:jc w:val="center"/>
      <w:outlineLvl w:val="0"/>
    </w:pPr>
    <w:rPr>
      <w:rFonts w:eastAsia="Times New Roman"/>
      <w:b/>
      <w:bCs/>
      <w:sz w:val="28"/>
      <w:szCs w:val="28"/>
      <w:lang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C70887"/>
    <w:rPr>
      <w:rFonts w:ascii="Times New Roman" w:eastAsia="Times New Roman" w:hAnsi="Times New Roman"/>
      <w:b/>
      <w:bCs/>
      <w:sz w:val="28"/>
      <w:szCs w:val="28"/>
      <w:lang w:val="ru-RU" w:eastAsia="ru-RU" w:bidi="ru-RU"/>
    </w:rPr>
  </w:style>
  <w:style w:type="paragraph" w:styleId="ListParagraph">
    <w:name w:val="List Paragraph"/>
    <w:aliases w:val="Table Heading,Bullets,List Paragraph (numbered (a)),ненум_список,маркированный,Абзац списка3,Абзац списка7,Абзац списка71,Абзац списка8,List Paragraph1,Абзац с отступом,References,Heading1,Colorful List - Accent 11,Абзац,Ha"/>
    <w:basedOn w:val="Normal"/>
    <w:link w:val="ListParagraphChar"/>
    <w:uiPriority w:val="34"/>
    <w:qFormat/>
    <w:rsid w:val="00C70887"/>
    <w:pPr>
      <w:ind w:left="720"/>
      <w:contextualSpacing/>
    </w:pPr>
  </w:style>
  <w:style w:type="character" w:customStyle="1" w:styleId="ListParagraphChar">
    <w:name w:val="List Paragraph Char"/>
    <w:aliases w:val="Table Heading Char,Bullets Char,List Paragraph (numbered (a)) Char,ненум_список Char,маркированный Char,Абзац списка3 Char,Абзац списка7 Char,Абзац списка71 Char,Абзац списка8 Char,List Paragraph1 Char,Абзац с отступом Char,Ha Char"/>
    <w:link w:val="ListParagraph"/>
    <w:uiPriority w:val="34"/>
    <w:rsid w:val="00C70887"/>
    <w:rPr>
      <w:rFonts w:ascii="Times New Roman" w:hAnsi="Times New Roman"/>
      <w:sz w:val="22"/>
      <w:szCs w:val="22"/>
      <w:lang w:val="ru-RU"/>
    </w:rPr>
  </w:style>
  <w:style w:type="table" w:styleId="TableGrid">
    <w:name w:val="Table Grid"/>
    <w:basedOn w:val="TableNormal"/>
    <w:uiPriority w:val="39"/>
    <w:rsid w:val="00F62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88126F-C52C-46D5-93DE-F71CCB20C078}"/>
</file>

<file path=customXml/itemProps2.xml><?xml version="1.0" encoding="utf-8"?>
<ds:datastoreItem xmlns:ds="http://schemas.openxmlformats.org/officeDocument/2006/customXml" ds:itemID="{31F2B943-9971-4827-B5E6-26C376185680}"/>
</file>

<file path=customXml/itemProps3.xml><?xml version="1.0" encoding="utf-8"?>
<ds:datastoreItem xmlns:ds="http://schemas.openxmlformats.org/officeDocument/2006/customXml" ds:itemID="{8645D569-9816-452A-93C3-7E4F09D38A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Gyulnara Karpisheva</dc:creator>
  <cp:keywords/>
  <dc:description/>
  <cp:lastModifiedBy>Gyulnara Karpisheva</cp:lastModifiedBy>
  <cp:revision>6</cp:revision>
  <dcterms:created xsi:type="dcterms:W3CDTF">2021-08-16T12:09:00Z</dcterms:created>
  <dcterms:modified xsi:type="dcterms:W3CDTF">2021-08-16T12:24:00Z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