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eSourcing refere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nce: 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ITB/2021/22808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320"/>
          <w:tab w:val="right" w:pos="8640"/>
          <w:tab w:val="left" w:pos="-1440"/>
          <w:tab w:val="left" w:pos="7200"/>
        </w:tabs>
        <w:spacing w:after="0" w:before="0" w:line="240" w:lineRule="auto"/>
        <w:ind w:left="142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pos="-1440"/>
          <w:tab w:val="left" w:pos="7200"/>
        </w:tabs>
        <w:spacing w:after="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pos="-1440"/>
          <w:tab w:val="left" w:pos="7200"/>
        </w:tabs>
        <w:spacing w:after="20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In the event of a Contract, the following General Conditions of Contract will apply:</w:t>
      </w:r>
    </w:p>
    <w:p w:rsidR="00000000" w:rsidDel="00000000" w:rsidP="00000000" w:rsidRDefault="00000000" w:rsidRPr="00000000" w14:paraId="00000007">
      <w:pPr>
        <w:tabs>
          <w:tab w:val="left" w:pos="-1440"/>
          <w:tab w:val="left" w:pos="720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40"/>
          <w:tab w:val="left" w:pos="7200"/>
        </w:tabs>
        <w:spacing w:after="0" w:before="0" w:line="276" w:lineRule="auto"/>
        <w:ind w:left="1440" w:right="0" w:hanging="36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UNOPS General Conditions of Contract for the provision of Goods and Services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40"/>
          <w:tab w:val="left" w:pos="7200"/>
        </w:tabs>
        <w:spacing w:after="200" w:before="0" w:line="276" w:lineRule="auto"/>
        <w:ind w:left="144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pos="-1440"/>
          <w:tab w:val="left" w:pos="7200"/>
        </w:tabs>
        <w:spacing w:after="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The conditions are available at: </w:t>
      </w:r>
      <w:hyperlink r:id="rId7">
        <w:r w:rsidDel="00000000" w:rsidR="00000000" w:rsidRPr="00000000">
          <w:rPr>
            <w:rFonts w:ascii="Open Sans" w:cs="Open Sans" w:eastAsia="Open Sans" w:hAnsi="Open Sans"/>
            <w:color w:val="1155cc"/>
            <w:u w:val="single"/>
            <w:rtl w:val="0"/>
          </w:rPr>
          <w:t xml:space="preserve">https://www.unops.org/business-opportunities/how-we-procure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pos="-1440"/>
          <w:tab w:val="left" w:pos="7200"/>
        </w:tabs>
        <w:spacing w:after="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pos="-1440"/>
          <w:tab w:val="left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IV-2: UNOPS Special Conditions of Contract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720"/>
          <w:tab w:val="left" w:pos="0"/>
          <w:tab w:val="left" w:pos="720"/>
          <w:tab w:val="right" w:pos="864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N/A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9" w:w="11907" w:orient="portrait"/>
      <w:pgMar w:bottom="1440" w:top="1440" w:left="1077" w:right="1077" w:header="720" w:footer="720"/>
      <w:pgNumType w:start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Courier New"/>
  <w:font w:name="Noto Sans Symbols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c>
        <w:tcPr/>
        <w:p w:rsidR="00000000" w:rsidDel="00000000" w:rsidP="00000000" w:rsidRDefault="00000000" w:rsidRPr="00000000" w14:paraId="00000017">
          <w:pPr>
            <w:tabs>
              <w:tab w:val="center" w:pos="4320"/>
              <w:tab w:val="right" w:pos="8640"/>
            </w:tabs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UNOPS 2021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1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477645" cy="215900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1"/>
      <w:tblW w:w="996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969"/>
      <w:tblGridChange w:id="0">
        <w:tblGrid>
          <w:gridCol w:w="9969"/>
        </w:tblGrid>
      </w:tblGridChange>
    </w:tblGrid>
    <w:tr>
      <w:tc>
        <w:tcPr/>
        <w:p w:rsidR="00000000" w:rsidDel="00000000" w:rsidP="00000000" w:rsidRDefault="00000000" w:rsidRPr="00000000" w14:paraId="00000012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1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tbl>
          <w:tblPr>
            <w:tblStyle w:val="Table2"/>
            <w:tblW w:w="9889.0" w:type="dxa"/>
            <w:jc w:val="left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400"/>
          </w:tblPr>
          <w:tblGrid>
            <w:gridCol w:w="9889"/>
            <w:tblGridChange w:id="0">
              <w:tblGrid>
                <w:gridCol w:w="9889"/>
              </w:tblGrid>
            </w:tblGridChange>
          </w:tblGrid>
          <w:tr>
            <w:tc>
              <w:tcPr/>
              <w:p w:rsidR="00000000" w:rsidDel="00000000" w:rsidP="00000000" w:rsidRDefault="00000000" w:rsidRPr="00000000" w14:paraId="00000013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pos="4320"/>
                    <w:tab w:val="right" w:pos="8640"/>
                  </w:tabs>
                  <w:spacing w:after="0" w:before="0" w:line="240" w:lineRule="auto"/>
                  <w:ind w:left="0" w:right="0" w:firstLine="0"/>
                  <w:jc w:val="right"/>
                  <w:rPr>
                    <w:rFonts w:ascii="Open Sans" w:cs="Open Sans" w:eastAsia="Open Sans" w:hAnsi="Open Sans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Open Sans" w:cs="Open Sans" w:eastAsia="Open Sans" w:hAnsi="Open Sans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UNOPS eSourcing v</w:t>
                </w:r>
                <w:r w:rsidDel="00000000" w:rsidR="00000000" w:rsidRPr="00000000">
                  <w:rPr>
                    <w:rFonts w:ascii="Open Sans" w:cs="Open Sans" w:eastAsia="Open Sans" w:hAnsi="Open Sans"/>
                    <w:sz w:val="18"/>
                    <w:szCs w:val="18"/>
                    <w:rtl w:val="0"/>
                  </w:rPr>
                  <w:t xml:space="preserve">2021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  <w:p w:rsidR="00000000" w:rsidDel="00000000" w:rsidP="00000000" w:rsidRDefault="00000000" w:rsidRPr="00000000" w14:paraId="0000001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unops.org/business-opportunities/how-we-procure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1B9RyviZdpMCatWxxgOaBvOTZg==">AMUW2mVJiXylM8ATfSwZ+dLJC5xu/UZ7d2ReJdCW2VQo8wJzWooRYJKad2xgGla3XhY9VGs7ovuSimDUrQpAAfliBIKNfnXlwACIj2JlAKhbJaGO46lT/qY=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