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II: Schedule of Requirements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eSourcing referen</w:t>
      </w:r>
      <w:r w:rsidDel="00000000" w:rsidR="00000000" w:rsidRPr="00000000">
        <w:rPr>
          <w:rFonts w:ascii="Open Sans" w:cs="Open Sans" w:eastAsia="Open Sans" w:hAnsi="Open Sans"/>
          <w:b w:val="1"/>
          <w:rtl w:val="0"/>
        </w:rPr>
        <w:t xml:space="preserve">ce: </w:t>
      </w:r>
      <w:r w:rsidDel="00000000" w:rsidR="00000000" w:rsidRPr="00000000">
        <w:rPr>
          <w:rFonts w:ascii="Open Sans" w:cs="Open Sans" w:eastAsia="Open Sans" w:hAnsi="Open Sans"/>
          <w:b w:val="1"/>
          <w:rtl w:val="0"/>
        </w:rPr>
        <w:t xml:space="preserve"> ITB/2021/22808</w:t>
      </w:r>
      <w:r w:rsidDel="00000000" w:rsidR="00000000" w:rsidRPr="00000000">
        <w:rPr>
          <w:rtl w:val="0"/>
        </w:rPr>
      </w:r>
    </w:p>
    <w:p w:rsidR="00000000" w:rsidDel="00000000" w:rsidP="00000000" w:rsidRDefault="00000000" w:rsidRPr="00000000" w14:paraId="00000003">
      <w:pPr>
        <w:rPr>
          <w:rFonts w:ascii="Open Sans" w:cs="Open Sans" w:eastAsia="Open Sans" w:hAnsi="Open Sans"/>
        </w:rPr>
      </w:pPr>
      <w:r w:rsidDel="00000000" w:rsidR="00000000" w:rsidRPr="00000000">
        <w:rPr>
          <w:rtl w:val="0"/>
        </w:rPr>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5" w:right="0" w:hanging="28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Summary of Requirements </w:t>
      </w:r>
      <w:r w:rsidDel="00000000" w:rsidR="00000000" w:rsidRPr="00000000">
        <w:rPr>
          <w:rtl w:val="0"/>
        </w:rPr>
      </w:r>
    </w:p>
    <w:p w:rsidR="00000000" w:rsidDel="00000000" w:rsidP="00000000" w:rsidRDefault="00000000" w:rsidRPr="00000000" w14:paraId="00000005">
      <w:pPr>
        <w:spacing w:after="60" w:lineRule="auto"/>
        <w:rPr/>
      </w:pPr>
      <w:r w:rsidDel="00000000" w:rsidR="00000000" w:rsidRPr="00000000">
        <w:rPr>
          <w:rtl w:val="0"/>
        </w:rPr>
        <w:t xml:space="preserve">eSourcing reference:ITB/2021/22808</w:t>
      </w:r>
    </w:p>
    <w:p w:rsidR="00000000" w:rsidDel="00000000" w:rsidP="00000000" w:rsidRDefault="00000000" w:rsidRPr="00000000" w14:paraId="00000006">
      <w:pPr>
        <w:spacing w:after="60" w:lineRule="auto"/>
        <w:rPr/>
      </w:pPr>
      <w:r w:rsidDel="00000000" w:rsidR="00000000" w:rsidRPr="00000000">
        <w:rPr>
          <w:rtl w:val="0"/>
        </w:rPr>
        <w:t xml:space="preserve">Name of Bidder:</w:t>
      </w:r>
      <w:r w:rsidDel="00000000" w:rsidR="00000000" w:rsidRPr="00000000">
        <w:rPr>
          <w:highlight w:val="cyan"/>
          <w:rtl w:val="0"/>
        </w:rPr>
        <w:t xml:space="preserve"> [insert name of bidder</w:t>
      </w:r>
      <w:r w:rsidDel="00000000" w:rsidR="00000000" w:rsidRPr="00000000">
        <w:rPr>
          <w:rtl w:val="0"/>
        </w:rPr>
        <w:t xml:space="preserve">] </w:t>
      </w:r>
    </w:p>
    <w:p w:rsidR="00000000" w:rsidDel="00000000" w:rsidP="00000000" w:rsidRDefault="00000000" w:rsidRPr="00000000" w14:paraId="00000007">
      <w:pPr>
        <w:spacing w:after="60" w:lineRule="auto"/>
        <w:rPr/>
      </w:pPr>
      <w:r w:rsidDel="00000000" w:rsidR="00000000" w:rsidRPr="00000000">
        <w:rPr>
          <w:rtl w:val="0"/>
        </w:rPr>
        <w:t xml:space="preserve">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t xml:space="preserve">Bidders are required to complete the below </w:t>
      </w:r>
      <w:r w:rsidDel="00000000" w:rsidR="00000000" w:rsidRPr="00000000">
        <w:rPr>
          <w:b w:val="1"/>
          <w:rtl w:val="0"/>
        </w:rPr>
        <w:t xml:space="preserve">Comparative Data Tables</w:t>
      </w:r>
      <w:r w:rsidDel="00000000" w:rsidR="00000000" w:rsidRPr="00000000">
        <w:rPr>
          <w:rtl w:val="0"/>
        </w:rPr>
        <w:t xml:space="preserve"> to demonstrate compliance with UNOPS requirements and insert them below. Bidders are NOT allowed to make any change in the “UNOPS requirements” columns of the Comparative Data Tables. Such changes might disqualify your bid.</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Technical specifications for Goods – Comparative Data Table:</w:t>
      </w:r>
    </w:p>
    <w:tbl>
      <w:tblPr>
        <w:tblStyle w:val="Table1"/>
        <w:tblW w:w="1031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35"/>
        <w:gridCol w:w="3765"/>
        <w:gridCol w:w="1134"/>
        <w:gridCol w:w="1984"/>
        <w:gridCol w:w="2693"/>
        <w:tblGridChange w:id="0">
          <w:tblGrid>
            <w:gridCol w:w="735"/>
            <w:gridCol w:w="3765"/>
            <w:gridCol w:w="1134"/>
            <w:gridCol w:w="1984"/>
            <w:gridCol w:w="2693"/>
          </w:tblGrid>
        </w:tblGridChange>
      </w:tblGrid>
      <w:tr>
        <w:trPr>
          <w:trHeight w:val="499" w:hRule="atLeast"/>
        </w:trPr>
        <w:tc>
          <w:tcPr>
            <w:shd w:fill="d9d9d9" w:val="clear"/>
            <w:vAlign w:val="center"/>
          </w:tcPr>
          <w:p w:rsidR="00000000" w:rsidDel="00000000" w:rsidP="00000000" w:rsidRDefault="00000000" w:rsidRPr="00000000" w14:paraId="0000000C">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0D">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00E">
            <w:pPr>
              <w:jc w:val="center"/>
              <w:rPr>
                <w:b w:val="1"/>
              </w:rPr>
            </w:pPr>
            <w:r w:rsidDel="00000000" w:rsidR="00000000" w:rsidRPr="00000000">
              <w:rPr>
                <w:b w:val="1"/>
                <w:rtl w:val="0"/>
              </w:rPr>
              <w:t xml:space="preserve">Quantity</w:t>
            </w:r>
          </w:p>
        </w:tc>
        <w:tc>
          <w:tcPr>
            <w:shd w:fill="d9d9d9" w:val="clear"/>
            <w:vAlign w:val="center"/>
          </w:tcPr>
          <w:p w:rsidR="00000000" w:rsidDel="00000000" w:rsidP="00000000" w:rsidRDefault="00000000" w:rsidRPr="00000000" w14:paraId="0000000F">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10">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c>
          <w:tcPr>
            <w:vAlign w:val="center"/>
          </w:tcPr>
          <w:p w:rsidR="00000000" w:rsidDel="00000000" w:rsidP="00000000" w:rsidRDefault="00000000" w:rsidRPr="00000000" w14:paraId="00000011">
            <w:pPr>
              <w:rPr/>
            </w:pPr>
            <w:r w:rsidDel="00000000" w:rsidR="00000000" w:rsidRPr="00000000">
              <w:rPr>
                <w:rtl w:val="0"/>
              </w:rPr>
              <w:t xml:space="preserve">1</w:t>
            </w:r>
          </w:p>
        </w:tc>
        <w:tc>
          <w:tcPr/>
          <w:p w:rsidR="00000000" w:rsidDel="00000000" w:rsidP="00000000" w:rsidRDefault="00000000" w:rsidRPr="00000000" w14:paraId="00000012">
            <w:pPr>
              <w:rPr/>
            </w:pPr>
            <w:r w:rsidDel="00000000" w:rsidR="00000000" w:rsidRPr="00000000">
              <w:rPr>
                <w:rtl w:val="0"/>
              </w:rPr>
              <w:t xml:space="preserve">SAP2000 Basic + Basic maintenance (1 year)</w:t>
            </w:r>
          </w:p>
        </w:tc>
        <w:tc>
          <w:tcPr>
            <w:vAlign w:val="center"/>
          </w:tcPr>
          <w:p w:rsidR="00000000" w:rsidDel="00000000" w:rsidP="00000000" w:rsidRDefault="00000000" w:rsidRPr="00000000" w14:paraId="00000013">
            <w:pPr>
              <w:jc w:val="center"/>
              <w:rPr/>
            </w:pPr>
            <w:r w:rsidDel="00000000" w:rsidR="00000000" w:rsidRPr="00000000">
              <w:rPr>
                <w:rtl w:val="0"/>
              </w:rPr>
              <w:t xml:space="preserve">2</w:t>
            </w:r>
          </w:p>
        </w:tc>
        <w:tc>
          <w:tcPr>
            <w:vAlign w:val="center"/>
          </w:tcPr>
          <w:p w:rsidR="00000000" w:rsidDel="00000000" w:rsidP="00000000" w:rsidRDefault="00000000" w:rsidRPr="00000000" w14:paraId="00000014">
            <w:pPr>
              <w:jc w:val="center"/>
              <w:rPr/>
            </w:pPr>
            <w:sdt>
              <w:sdtPr>
                <w:tag w:val="goog_rdk_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15">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16">
            <w:pPr>
              <w:rPr/>
            </w:pPr>
            <w:r w:rsidDel="00000000" w:rsidR="00000000" w:rsidRPr="00000000">
              <w:rPr>
                <w:rtl w:val="0"/>
              </w:rPr>
              <w:t xml:space="preserve">2</w:t>
            </w:r>
          </w:p>
        </w:tc>
        <w:tc>
          <w:tcPr/>
          <w:p w:rsidR="00000000" w:rsidDel="00000000" w:rsidP="00000000" w:rsidRDefault="00000000" w:rsidRPr="00000000" w14:paraId="00000017">
            <w:pPr>
              <w:rPr/>
            </w:pPr>
            <w:r w:rsidDel="00000000" w:rsidR="00000000" w:rsidRPr="00000000">
              <w:rPr>
                <w:rtl w:val="0"/>
              </w:rPr>
              <w:t xml:space="preserve">SAFE + Basic maintenance (1 year)</w:t>
            </w:r>
          </w:p>
        </w:tc>
        <w:tc>
          <w:tcPr>
            <w:vAlign w:val="center"/>
          </w:tcPr>
          <w:p w:rsidR="00000000" w:rsidDel="00000000" w:rsidP="00000000" w:rsidRDefault="00000000" w:rsidRPr="00000000" w14:paraId="00000018">
            <w:pPr>
              <w:jc w:val="center"/>
              <w:rPr/>
            </w:pPr>
            <w:r w:rsidDel="00000000" w:rsidR="00000000" w:rsidRPr="00000000">
              <w:rPr>
                <w:rtl w:val="0"/>
              </w:rPr>
              <w:t xml:space="preserve">1</w:t>
            </w:r>
          </w:p>
        </w:tc>
        <w:tc>
          <w:tcPr>
            <w:vAlign w:val="center"/>
          </w:tcPr>
          <w:p w:rsidR="00000000" w:rsidDel="00000000" w:rsidP="00000000" w:rsidRDefault="00000000" w:rsidRPr="00000000" w14:paraId="00000019">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1A">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1B">
            <w:pPr>
              <w:rPr/>
            </w:pPr>
            <w:r w:rsidDel="00000000" w:rsidR="00000000" w:rsidRPr="00000000">
              <w:rPr>
                <w:rtl w:val="0"/>
              </w:rPr>
              <w:t xml:space="preserve">3</w:t>
            </w:r>
          </w:p>
        </w:tc>
        <w:tc>
          <w:tcPr/>
          <w:p w:rsidR="00000000" w:rsidDel="00000000" w:rsidP="00000000" w:rsidRDefault="00000000" w:rsidRPr="00000000" w14:paraId="0000001C">
            <w:pPr>
              <w:rPr/>
            </w:pPr>
            <w:r w:rsidDel="00000000" w:rsidR="00000000" w:rsidRPr="00000000">
              <w:rPr>
                <w:rtl w:val="0"/>
              </w:rPr>
              <w:t xml:space="preserve">Autodesk AutoCAD 2021 (1 year)</w:t>
            </w:r>
          </w:p>
        </w:tc>
        <w:tc>
          <w:tcPr>
            <w:vAlign w:val="center"/>
          </w:tcPr>
          <w:p w:rsidR="00000000" w:rsidDel="00000000" w:rsidP="00000000" w:rsidRDefault="00000000" w:rsidRPr="00000000" w14:paraId="0000001D">
            <w:pPr>
              <w:jc w:val="center"/>
              <w:rPr/>
            </w:pPr>
            <w:r w:rsidDel="00000000" w:rsidR="00000000" w:rsidRPr="00000000">
              <w:rPr>
                <w:rtl w:val="0"/>
              </w:rPr>
              <w:t xml:space="preserve">9</w:t>
            </w:r>
          </w:p>
        </w:tc>
        <w:tc>
          <w:tcPr>
            <w:vAlign w:val="center"/>
          </w:tcPr>
          <w:p w:rsidR="00000000" w:rsidDel="00000000" w:rsidP="00000000" w:rsidRDefault="00000000" w:rsidRPr="00000000" w14:paraId="0000001E">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1F">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20">
            <w:pPr>
              <w:rPr/>
            </w:pPr>
            <w:r w:rsidDel="00000000" w:rsidR="00000000" w:rsidRPr="00000000">
              <w:rPr>
                <w:rtl w:val="0"/>
              </w:rPr>
              <w:t xml:space="preserve">4</w:t>
            </w:r>
          </w:p>
        </w:tc>
        <w:tc>
          <w:tcPr/>
          <w:p w:rsidR="00000000" w:rsidDel="00000000" w:rsidP="00000000" w:rsidRDefault="00000000" w:rsidRPr="00000000" w14:paraId="00000021">
            <w:pPr>
              <w:rPr/>
            </w:pPr>
            <w:r w:rsidDel="00000000" w:rsidR="00000000" w:rsidRPr="00000000">
              <w:rPr>
                <w:rtl w:val="0"/>
              </w:rPr>
              <w:t xml:space="preserve">Autodesk Revit 2021. (1 year)</w:t>
            </w:r>
          </w:p>
        </w:tc>
        <w:tc>
          <w:tcPr>
            <w:vAlign w:val="center"/>
          </w:tcPr>
          <w:p w:rsidR="00000000" w:rsidDel="00000000" w:rsidP="00000000" w:rsidRDefault="00000000" w:rsidRPr="00000000" w14:paraId="00000022">
            <w:pPr>
              <w:jc w:val="center"/>
              <w:rPr/>
            </w:pPr>
            <w:r w:rsidDel="00000000" w:rsidR="00000000" w:rsidRPr="00000000">
              <w:rPr>
                <w:rtl w:val="0"/>
              </w:rPr>
              <w:t xml:space="preserve">2</w:t>
            </w:r>
          </w:p>
        </w:tc>
        <w:tc>
          <w:tcPr>
            <w:vAlign w:val="center"/>
          </w:tcPr>
          <w:p w:rsidR="00000000" w:rsidDel="00000000" w:rsidP="00000000" w:rsidRDefault="00000000" w:rsidRPr="00000000" w14:paraId="00000023">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24">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25">
            <w:pPr>
              <w:rPr/>
            </w:pPr>
            <w:r w:rsidDel="00000000" w:rsidR="00000000" w:rsidRPr="00000000">
              <w:rPr>
                <w:rtl w:val="0"/>
              </w:rPr>
              <w:t xml:space="preserve">5</w:t>
            </w:r>
          </w:p>
        </w:tc>
        <w:tc>
          <w:tcPr/>
          <w:p w:rsidR="00000000" w:rsidDel="00000000" w:rsidP="00000000" w:rsidRDefault="00000000" w:rsidRPr="00000000" w14:paraId="00000026">
            <w:pPr>
              <w:rPr/>
            </w:pPr>
            <w:r w:rsidDel="00000000" w:rsidR="00000000" w:rsidRPr="00000000">
              <w:rPr>
                <w:rtl w:val="0"/>
              </w:rPr>
              <w:t xml:space="preserve">Google sketch up Studio (1 year)</w:t>
            </w:r>
          </w:p>
        </w:tc>
        <w:tc>
          <w:tcPr>
            <w:vAlign w:val="center"/>
          </w:tcPr>
          <w:p w:rsidR="00000000" w:rsidDel="00000000" w:rsidP="00000000" w:rsidRDefault="00000000" w:rsidRPr="00000000" w14:paraId="00000027">
            <w:pPr>
              <w:jc w:val="center"/>
              <w:rPr/>
            </w:pPr>
            <w:r w:rsidDel="00000000" w:rsidR="00000000" w:rsidRPr="00000000">
              <w:rPr>
                <w:rtl w:val="0"/>
              </w:rPr>
              <w:t xml:space="preserve">2</w:t>
            </w:r>
          </w:p>
        </w:tc>
        <w:tc>
          <w:tcPr>
            <w:vAlign w:val="center"/>
          </w:tcPr>
          <w:p w:rsidR="00000000" w:rsidDel="00000000" w:rsidP="00000000" w:rsidRDefault="00000000" w:rsidRPr="00000000" w14:paraId="00000028">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29">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2A">
            <w:pPr>
              <w:rPr/>
            </w:pPr>
            <w:r w:rsidDel="00000000" w:rsidR="00000000" w:rsidRPr="00000000">
              <w:rPr>
                <w:rtl w:val="0"/>
              </w:rPr>
              <w:t xml:space="preserve">6</w:t>
            </w:r>
          </w:p>
        </w:tc>
        <w:tc>
          <w:tcPr/>
          <w:p w:rsidR="00000000" w:rsidDel="00000000" w:rsidP="00000000" w:rsidRDefault="00000000" w:rsidRPr="00000000" w14:paraId="0000002B">
            <w:pPr>
              <w:rPr/>
            </w:pPr>
            <w:r w:rsidDel="00000000" w:rsidR="00000000" w:rsidRPr="00000000">
              <w:rPr>
                <w:rtl w:val="0"/>
              </w:rPr>
              <w:t xml:space="preserve">Lumion 2021 3D Rendering Software (1 year)</w:t>
            </w:r>
          </w:p>
        </w:tc>
        <w:tc>
          <w:tcPr>
            <w:vAlign w:val="center"/>
          </w:tcPr>
          <w:p w:rsidR="00000000" w:rsidDel="00000000" w:rsidP="00000000" w:rsidRDefault="00000000" w:rsidRPr="00000000" w14:paraId="0000002C">
            <w:pPr>
              <w:jc w:val="center"/>
              <w:rPr/>
            </w:pPr>
            <w:r w:rsidDel="00000000" w:rsidR="00000000" w:rsidRPr="00000000">
              <w:rPr>
                <w:rtl w:val="0"/>
              </w:rPr>
              <w:t xml:space="preserve">2</w:t>
            </w:r>
          </w:p>
        </w:tc>
        <w:tc>
          <w:tcPr>
            <w:vAlign w:val="center"/>
          </w:tcPr>
          <w:p w:rsidR="00000000" w:rsidDel="00000000" w:rsidP="00000000" w:rsidRDefault="00000000" w:rsidRPr="00000000" w14:paraId="0000002D">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2E">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2F">
            <w:pPr>
              <w:rPr/>
            </w:pPr>
            <w:r w:rsidDel="00000000" w:rsidR="00000000" w:rsidRPr="00000000">
              <w:rPr>
                <w:rtl w:val="0"/>
              </w:rPr>
              <w:t xml:space="preserve">7</w:t>
            </w:r>
          </w:p>
        </w:tc>
        <w:tc>
          <w:tcPr/>
          <w:p w:rsidR="00000000" w:rsidDel="00000000" w:rsidP="00000000" w:rsidRDefault="00000000" w:rsidRPr="00000000" w14:paraId="00000030">
            <w:pPr>
              <w:rPr/>
            </w:pPr>
            <w:r w:rsidDel="00000000" w:rsidR="00000000" w:rsidRPr="00000000">
              <w:rPr>
                <w:rtl w:val="0"/>
              </w:rPr>
              <w:t xml:space="preserve">ArcGIS Professional Standard (1 year)</w:t>
            </w:r>
          </w:p>
        </w:tc>
        <w:tc>
          <w:tcPr>
            <w:vAlign w:val="center"/>
          </w:tcPr>
          <w:p w:rsidR="00000000" w:rsidDel="00000000" w:rsidP="00000000" w:rsidRDefault="00000000" w:rsidRPr="00000000" w14:paraId="00000031">
            <w:pPr>
              <w:jc w:val="center"/>
              <w:rPr/>
            </w:pPr>
            <w:r w:rsidDel="00000000" w:rsidR="00000000" w:rsidRPr="00000000">
              <w:rPr>
                <w:rtl w:val="0"/>
              </w:rPr>
              <w:t xml:space="preserve">2</w:t>
            </w:r>
          </w:p>
        </w:tc>
        <w:tc>
          <w:tcPr>
            <w:vAlign w:val="center"/>
          </w:tcPr>
          <w:p w:rsidR="00000000" w:rsidDel="00000000" w:rsidP="00000000" w:rsidRDefault="00000000" w:rsidRPr="00000000" w14:paraId="00000032">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33">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34">
            <w:pPr>
              <w:rPr/>
            </w:pPr>
            <w:r w:rsidDel="00000000" w:rsidR="00000000" w:rsidRPr="00000000">
              <w:rPr>
                <w:rtl w:val="0"/>
              </w:rPr>
              <w:t xml:space="preserve">8</w:t>
            </w:r>
          </w:p>
        </w:tc>
        <w:tc>
          <w:tcPr/>
          <w:p w:rsidR="00000000" w:rsidDel="00000000" w:rsidP="00000000" w:rsidRDefault="00000000" w:rsidRPr="00000000" w14:paraId="00000035">
            <w:pPr>
              <w:rPr/>
            </w:pPr>
            <w:r w:rsidDel="00000000" w:rsidR="00000000" w:rsidRPr="00000000">
              <w:rPr>
                <w:rtl w:val="0"/>
              </w:rPr>
              <w:t xml:space="preserve">Autodesk Civil 3D 2021 (1 year)</w:t>
            </w:r>
          </w:p>
        </w:tc>
        <w:tc>
          <w:tcPr>
            <w:vAlign w:val="center"/>
          </w:tcPr>
          <w:p w:rsidR="00000000" w:rsidDel="00000000" w:rsidP="00000000" w:rsidRDefault="00000000" w:rsidRPr="00000000" w14:paraId="00000036">
            <w:pPr>
              <w:jc w:val="center"/>
              <w:rPr/>
            </w:pPr>
            <w:r w:rsidDel="00000000" w:rsidR="00000000" w:rsidRPr="00000000">
              <w:rPr>
                <w:rtl w:val="0"/>
              </w:rPr>
              <w:t xml:space="preserve">6</w:t>
            </w:r>
          </w:p>
        </w:tc>
        <w:tc>
          <w:tcPr>
            <w:vAlign w:val="center"/>
          </w:tcPr>
          <w:p w:rsidR="00000000" w:rsidDel="00000000" w:rsidP="00000000" w:rsidRDefault="00000000" w:rsidRPr="00000000" w14:paraId="00000037">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38">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bl>
    <w:p w:rsidR="00000000" w:rsidDel="00000000" w:rsidP="00000000" w:rsidRDefault="00000000" w:rsidRPr="00000000" w14:paraId="00000039">
      <w:pPr>
        <w:rPr>
          <w:b w:val="1"/>
        </w:rPr>
      </w:pPr>
      <w:r w:rsidDel="00000000" w:rsidR="00000000" w:rsidRPr="00000000">
        <w:rPr>
          <w:rtl w:val="0"/>
        </w:rPr>
      </w:r>
    </w:p>
    <w:p w:rsidR="00000000" w:rsidDel="00000000" w:rsidP="00000000" w:rsidRDefault="00000000" w:rsidRPr="00000000" w14:paraId="0000003A">
      <w:pPr>
        <w:ind w:right="-318"/>
        <w:jc w:val="both"/>
        <w:rPr>
          <w:b w:val="1"/>
        </w:rPr>
      </w:pPr>
      <w:r w:rsidDel="00000000" w:rsidR="00000000" w:rsidRPr="00000000">
        <w:rPr>
          <w:rtl w:val="0"/>
        </w:rPr>
      </w:r>
    </w:p>
    <w:p w:rsidR="00000000" w:rsidDel="00000000" w:rsidP="00000000" w:rsidRDefault="00000000" w:rsidRPr="00000000" w14:paraId="0000003B">
      <w:pPr>
        <w:ind w:right="-318"/>
        <w:jc w:val="both"/>
        <w:rPr>
          <w:b w:val="1"/>
        </w:rPr>
      </w:pPr>
      <w:r w:rsidDel="00000000" w:rsidR="00000000" w:rsidRPr="00000000">
        <w:rPr>
          <w:b w:val="1"/>
          <w:rtl w:val="0"/>
        </w:rPr>
        <w:t xml:space="preserve">Delivery requirements –– Comparative Data Table:</w:t>
      </w:r>
    </w:p>
    <w:tbl>
      <w:tblPr>
        <w:tblStyle w:val="Table2"/>
        <w:tblW w:w="10413.0" w:type="dxa"/>
        <w:jc w:val="left"/>
        <w:tblInd w:w="-34.0" w:type="dxa"/>
        <w:tblBorders>
          <w:top w:color="f79646" w:space="0" w:sz="8" w:val="single"/>
          <w:left w:color="f79646" w:space="0" w:sz="8" w:val="single"/>
          <w:bottom w:color="f79646" w:space="0" w:sz="8" w:val="single"/>
          <w:right w:color="f79646" w:space="0" w:sz="8" w:val="single"/>
          <w:insideH w:color="f79646" w:space="0" w:sz="8" w:val="single"/>
          <w:insideV w:color="f79646" w:space="0" w:sz="8" w:val="single"/>
        </w:tblBorders>
        <w:tblLayout w:type="fixed"/>
        <w:tblLook w:val="0400"/>
      </w:tblPr>
      <w:tblGrid>
        <w:gridCol w:w="1812"/>
        <w:gridCol w:w="3859"/>
        <w:gridCol w:w="1984"/>
        <w:gridCol w:w="2758"/>
        <w:tblGridChange w:id="0">
          <w:tblGrid>
            <w:gridCol w:w="1812"/>
            <w:gridCol w:w="3859"/>
            <w:gridCol w:w="1984"/>
            <w:gridCol w:w="2758"/>
          </w:tblGrid>
        </w:tblGridChange>
      </w:tblGrid>
      <w:tr>
        <w:trPr>
          <w:trHeight w:val="293" w:hRule="atLeast"/>
        </w:trPr>
        <w:tc>
          <w:tcPr>
            <w:gridSpan w:val="2"/>
            <w:shd w:fill="d9d9d9" w:val="clear"/>
            <w:vAlign w:val="center"/>
          </w:tcPr>
          <w:p w:rsidR="00000000" w:rsidDel="00000000" w:rsidP="00000000" w:rsidRDefault="00000000" w:rsidRPr="00000000" w14:paraId="0000003C">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3E">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3F">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40">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293" w:hRule="atLeast"/>
        </w:trPr>
        <w:tc>
          <w:tcPr>
            <w:shd w:fill="d9d9d9" w:val="clear"/>
            <w:vAlign w:val="center"/>
          </w:tcPr>
          <w:p w:rsidR="00000000" w:rsidDel="00000000" w:rsidP="00000000" w:rsidRDefault="00000000" w:rsidRPr="00000000" w14:paraId="00000041">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42">
            <w:pPr>
              <w:rPr>
                <w:rFonts w:ascii="Arial" w:cs="Arial" w:eastAsia="Arial" w:hAnsi="Arial"/>
                <w:b w:val="1"/>
                <w:u w:val="single"/>
              </w:rPr>
            </w:pPr>
            <w:r w:rsidDel="00000000" w:rsidR="00000000" w:rsidRPr="00000000">
              <w:rPr>
                <w:rFonts w:ascii="Arial" w:cs="Arial" w:eastAsia="Arial" w:hAnsi="Arial"/>
                <w:rtl w:val="0"/>
              </w:rPr>
              <w:t xml:space="preserve">Bidder shall deliver the software in 3 Weeks after signing of the Purchase Order.</w:t>
            </w:r>
            <w:r w:rsidDel="00000000" w:rsidR="00000000" w:rsidRPr="00000000">
              <w:rPr>
                <w:rtl w:val="0"/>
              </w:rPr>
            </w:r>
          </w:p>
        </w:tc>
        <w:tc>
          <w:tcPr>
            <w:vAlign w:val="center"/>
          </w:tcPr>
          <w:p w:rsidR="00000000" w:rsidDel="00000000" w:rsidP="00000000" w:rsidRDefault="00000000" w:rsidRPr="00000000" w14:paraId="00000043">
            <w:pPr>
              <w:rPr>
                <w:rFonts w:ascii="Arial" w:cs="Arial" w:eastAsia="Arial" w:hAnsi="Arial"/>
                <w:highlight w:val="cyan"/>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p>
          <w:p w:rsidR="00000000" w:rsidDel="00000000" w:rsidP="00000000" w:rsidRDefault="00000000" w:rsidRPr="00000000" w14:paraId="00000044">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45">
            <w:pPr>
              <w:rPr>
                <w:rFonts w:ascii="Arial" w:cs="Arial" w:eastAsia="Arial" w:hAnsi="Arial"/>
                <w:highlight w:val="cyan"/>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p>
        </w:tc>
        <w:tc>
          <w:tcPr>
            <w:vAlign w:val="center"/>
          </w:tcPr>
          <w:p w:rsidR="00000000" w:rsidDel="00000000" w:rsidP="00000000" w:rsidRDefault="00000000" w:rsidRPr="00000000" w14:paraId="00000046">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47">
            <w:pPr>
              <w:rPr>
                <w:rFonts w:ascii="Arial" w:cs="Arial" w:eastAsia="Arial" w:hAnsi="Arial"/>
                <w:highlight w:val="cyan"/>
              </w:rPr>
            </w:pPr>
            <w:r w:rsidDel="00000000" w:rsidR="00000000" w:rsidRPr="00000000">
              <w:rPr>
                <w:rtl w:val="0"/>
              </w:rPr>
            </w:r>
          </w:p>
        </w:tc>
      </w:tr>
      <w:tr>
        <w:trPr>
          <w:trHeight w:val="293" w:hRule="atLeast"/>
        </w:trPr>
        <w:tc>
          <w:tcPr>
            <w:shd w:fill="d9d9d9" w:val="clear"/>
            <w:vAlign w:val="center"/>
          </w:tcPr>
          <w:p w:rsidR="00000000" w:rsidDel="00000000" w:rsidP="00000000" w:rsidRDefault="00000000" w:rsidRPr="00000000" w14:paraId="00000048">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049">
            <w:pPr>
              <w:rPr>
                <w:rFonts w:ascii="Arial" w:cs="Arial" w:eastAsia="Arial" w:hAnsi="Arial"/>
                <w:b w:val="1"/>
              </w:rPr>
            </w:pPr>
            <w:r w:rsidDel="00000000" w:rsidR="00000000" w:rsidRPr="00000000">
              <w:rPr>
                <w:rFonts w:ascii="Arial" w:cs="Arial" w:eastAsia="Arial" w:hAnsi="Arial"/>
                <w:rtl w:val="0"/>
              </w:rPr>
              <w:t xml:space="preserve">DAP UNOPS Office Kabul Afghanistan.</w:t>
            </w:r>
            <w:r w:rsidDel="00000000" w:rsidR="00000000" w:rsidRPr="00000000">
              <w:rPr>
                <w:rtl w:val="0"/>
              </w:rPr>
            </w:r>
          </w:p>
        </w:tc>
        <w:tc>
          <w:tcPr>
            <w:vAlign w:val="center"/>
          </w:tcPr>
          <w:p w:rsidR="00000000" w:rsidDel="00000000" w:rsidP="00000000" w:rsidRDefault="00000000" w:rsidRPr="00000000" w14:paraId="0000004A">
            <w:pPr>
              <w:rPr>
                <w:rFonts w:ascii="Arial" w:cs="Arial" w:eastAsia="Arial" w:hAnsi="Arial"/>
                <w:highlight w:val="yellow"/>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4B">
            <w:pPr>
              <w:rPr>
                <w:rFonts w:ascii="Arial" w:cs="Arial" w:eastAsia="Arial" w:hAnsi="Arial"/>
                <w:highlight w:val="yellow"/>
              </w:rPr>
            </w:pPr>
            <w:r w:rsidDel="00000000" w:rsidR="00000000" w:rsidRPr="00000000">
              <w:rPr>
                <w:rtl w:val="0"/>
              </w:rPr>
            </w:r>
          </w:p>
        </w:tc>
      </w:tr>
      <w:tr>
        <w:trPr>
          <w:trHeight w:val="293" w:hRule="atLeast"/>
        </w:trPr>
        <w:tc>
          <w:tcPr>
            <w:shd w:fill="d9d9d9" w:val="clear"/>
            <w:vAlign w:val="center"/>
          </w:tcPr>
          <w:p w:rsidR="00000000" w:rsidDel="00000000" w:rsidP="00000000" w:rsidRDefault="00000000" w:rsidRPr="00000000" w14:paraId="0000004C">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04D">
            <w:pPr>
              <w:jc w:val="both"/>
              <w:rPr>
                <w:rFonts w:ascii="Arial" w:cs="Arial" w:eastAsia="Arial" w:hAnsi="Arial"/>
                <w:sz w:val="24"/>
                <w:szCs w:val="24"/>
                <w:highlight w:val="lightGray"/>
              </w:rPr>
            </w:pPr>
            <w:r w:rsidDel="00000000" w:rsidR="00000000" w:rsidRPr="00000000">
              <w:rPr>
                <w:rFonts w:ascii="Arial" w:cs="Arial" w:eastAsia="Arial" w:hAnsi="Arial"/>
                <w:sz w:val="20"/>
                <w:szCs w:val="20"/>
                <w:rtl w:val="0"/>
              </w:rPr>
              <w:t xml:space="preserve">At the time the Contract is awarded, UNOPS reserves the right to vary the quantity of the goods and associated services specified above, provided this does not exceed +/- </w:t>
            </w:r>
            <w:r w:rsidDel="00000000" w:rsidR="00000000" w:rsidRPr="00000000">
              <w:rPr>
                <w:rFonts w:ascii="Arial" w:cs="Arial" w:eastAsia="Arial" w:hAnsi="Arial"/>
                <w:b w:val="1"/>
                <w:sz w:val="20"/>
                <w:szCs w:val="20"/>
                <w:rtl w:val="0"/>
              </w:rPr>
              <w:t xml:space="preserve">50%, </w:t>
            </w:r>
            <w:r w:rsidDel="00000000" w:rsidR="00000000" w:rsidRPr="00000000">
              <w:rPr>
                <w:rFonts w:ascii="Arial" w:cs="Arial" w:eastAsia="Arial" w:hAnsi="Arial"/>
                <w:sz w:val="20"/>
                <w:szCs w:val="20"/>
                <w:rtl w:val="0"/>
              </w:rPr>
              <w:t xml:space="preserve">without any change in the unit prices or other terms and conditions of the ITB.</w:t>
            </w:r>
            <w:r w:rsidDel="00000000" w:rsidR="00000000" w:rsidRPr="00000000">
              <w:rPr>
                <w:rtl w:val="0"/>
              </w:rPr>
            </w:r>
          </w:p>
        </w:tc>
        <w:tc>
          <w:tcPr>
            <w:vAlign w:val="center"/>
          </w:tcPr>
          <w:p w:rsidR="00000000" w:rsidDel="00000000" w:rsidP="00000000" w:rsidRDefault="00000000" w:rsidRPr="00000000" w14:paraId="0000004E">
            <w:pPr>
              <w:jc w:val="both"/>
              <w:rPr>
                <w:rFonts w:ascii="Arial" w:cs="Arial" w:eastAsia="Arial" w:hAnsi="Arial"/>
                <w:sz w:val="20"/>
                <w:szCs w:val="20"/>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 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rFonts w:ascii="Arial" w:cs="Arial" w:eastAsia="Arial" w:hAnsi="Arial"/>
                <w:sz w:val="20"/>
                <w:szCs w:val="2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4F">
            <w:pPr>
              <w:jc w:val="both"/>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50">
      <w:pPr>
        <w:tabs>
          <w:tab w:val="left" w:pos="-720"/>
          <w:tab w:val="left" w:pos="0"/>
          <w:tab w:val="left" w:pos="720"/>
          <w:tab w:val="right" w:pos="8640"/>
        </w:tabs>
        <w:rPr>
          <w:highlight w:val="cyan"/>
        </w:rPr>
      </w:pPr>
      <w:r w:rsidDel="00000000" w:rsidR="00000000" w:rsidRPr="00000000">
        <w:rPr>
          <w:rtl w:val="0"/>
        </w:rPr>
      </w:r>
    </w:p>
    <w:p w:rsidR="00000000" w:rsidDel="00000000" w:rsidP="00000000" w:rsidRDefault="00000000" w:rsidRPr="00000000" w14:paraId="00000051">
      <w:pPr>
        <w:rPr>
          <w:b w:val="1"/>
        </w:rPr>
      </w:pPr>
      <w:r w:rsidDel="00000000" w:rsidR="00000000" w:rsidRPr="00000000">
        <w:rPr>
          <w:rtl w:val="0"/>
        </w:rPr>
      </w:r>
    </w:p>
    <w:p w:rsidR="00000000" w:rsidDel="00000000" w:rsidP="00000000" w:rsidRDefault="00000000" w:rsidRPr="00000000" w14:paraId="00000052">
      <w:pPr>
        <w:widowControl w:val="0"/>
        <w:spacing w:line="276" w:lineRule="auto"/>
        <w:rPr>
          <w:sz w:val="19.97821044921875"/>
          <w:szCs w:val="19.97821044921875"/>
        </w:rPr>
      </w:pPr>
      <w:r w:rsidDel="00000000" w:rsidR="00000000" w:rsidRPr="00000000">
        <w:rPr>
          <w:rtl w:val="0"/>
        </w:rPr>
      </w:r>
    </w:p>
    <w:p w:rsidR="00000000" w:rsidDel="00000000" w:rsidP="00000000" w:rsidRDefault="00000000" w:rsidRPr="00000000" w14:paraId="00000053">
      <w:pPr>
        <w:widowControl w:val="0"/>
        <w:spacing w:line="276" w:lineRule="auto"/>
        <w:rPr>
          <w:sz w:val="22"/>
          <w:szCs w:val="22"/>
        </w:rPr>
      </w:pPr>
      <w:r w:rsidDel="00000000" w:rsidR="00000000" w:rsidRPr="00000000">
        <w:rPr>
          <w:rtl w:val="0"/>
        </w:rPr>
      </w:r>
    </w:p>
    <w:p w:rsidR="00000000" w:rsidDel="00000000" w:rsidP="00000000" w:rsidRDefault="00000000" w:rsidRPr="00000000" w14:paraId="00000054">
      <w:pPr>
        <w:widowControl w:val="0"/>
        <w:ind w:right="-11.69677734375"/>
        <w:jc w:val="right"/>
        <w:rPr>
          <w:rFonts w:ascii="Open Sans" w:cs="Open Sans" w:eastAsia="Open Sans" w:hAnsi="Open Sans"/>
          <w:b w:val="1"/>
        </w:rPr>
      </w:pPr>
      <w:r w:rsidDel="00000000" w:rsidR="00000000" w:rsidRPr="00000000">
        <w:rPr>
          <w:sz w:val="17.984886169433594"/>
          <w:szCs w:val="17.984886169433594"/>
          <w:shd w:fill="fde5d1" w:val="clear"/>
          <w:rtl w:val="0"/>
        </w:rPr>
        <w:t xml:space="preserve">2 </w:t>
      </w:r>
      <w:r w:rsidDel="00000000" w:rsidR="00000000" w:rsidRPr="00000000">
        <w:rPr>
          <w:rtl w:val="0"/>
        </w:rPr>
      </w:r>
    </w:p>
    <w:p w:rsidR="00000000" w:rsidDel="00000000" w:rsidP="00000000" w:rsidRDefault="00000000" w:rsidRPr="00000000" w14:paraId="00000055">
      <w:pP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56">
      <w:pPr>
        <w:pStyle w:val="Subtitle"/>
        <w:tabs>
          <w:tab w:val="left" w:pos="-1440"/>
          <w:tab w:val="left" w:pos="7200"/>
          <w:tab w:val="left" w:pos="-1440"/>
          <w:tab w:val="left" w:pos="7200"/>
        </w:tabs>
        <w:ind w:left="142" w:firstLine="0"/>
        <w:jc w:val="both"/>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8">
      <w:pPr>
        <w:rPr>
          <w:rFonts w:ascii="Open Sans" w:cs="Open Sans" w:eastAsia="Open Sans" w:hAnsi="Open Sans"/>
        </w:rPr>
      </w:pPr>
      <w:r w:rsidDel="00000000" w:rsidR="00000000" w:rsidRPr="00000000">
        <w:rPr>
          <w:rtl w:val="0"/>
        </w:rPr>
      </w:r>
    </w:p>
    <w:p w:rsidR="00000000" w:rsidDel="00000000" w:rsidP="00000000" w:rsidRDefault="00000000" w:rsidRPr="00000000" w14:paraId="00000059">
      <w:pPr>
        <w:rPr>
          <w:rFonts w:ascii="Open Sans" w:cs="Open Sans" w:eastAsia="Open Sans" w:hAnsi="Open Sans"/>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MS Gothic"/>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5F">
          <w:pPr>
            <w:tabs>
              <w:tab w:val="center" w:pos="4320"/>
              <w:tab w:val="right" w:pos="8640"/>
            </w:tabs>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60">
          <w:pPr>
            <w:tabs>
              <w:tab w:val="center" w:pos="4320"/>
              <w:tab w:val="right"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63">
    <w:pPr>
      <w:tabs>
        <w:tab w:val="center" w:pos="4320"/>
        <w:tab w:val="right"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3"/>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tc>
      <w:tc>
        <w:tcPr/>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ITB Ref No: </w:t>
          </w:r>
          <w:r w:rsidDel="00000000" w:rsidR="00000000" w:rsidRPr="00000000">
            <w:rPr>
              <w:rFonts w:ascii="Open Sans" w:cs="Open Sans" w:eastAsia="Open Sans" w:hAnsi="Open Sans"/>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285" w:hanging="285"/>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tcPr>
      <w:shd w:fill="fde5d1" w:val="clear"/>
    </w:tcPr>
  </w:style>
  <w:style w:type="table" w:styleId="Table2">
    <w:basedOn w:val="TableNormal"/>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tcPr>
      <w:shd w:fill="fde5d1" w:val="clear"/>
    </w:tc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rZRNkh3VWV/XFr2aPRIDpBqUJA==">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