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 Schedule of Requirements</w:t>
      </w:r>
    </w:p>
    <w:p w:rsidR="00000000" w:rsidDel="00000000" w:rsidP="00000000" w:rsidRDefault="00000000" w:rsidRPr="00000000" w14:paraId="00000002">
      <w:pPr>
        <w:keepNext w:val="1"/>
        <w:keepLines w:val="1"/>
        <w:spacing w:after="120" w:before="240" w:lineRule="auto"/>
        <w:rPr>
          <w:sz w:val="22"/>
          <w:szCs w:val="22"/>
        </w:rPr>
      </w:pPr>
      <w:r w:rsidDel="00000000" w:rsidR="00000000" w:rsidRPr="00000000">
        <w:rPr>
          <w:sz w:val="22"/>
          <w:szCs w:val="22"/>
          <w:rtl w:val="0"/>
        </w:rPr>
        <w:t xml:space="preserve">E-Sourcing reference: </w:t>
        <w:tab/>
        <w:t xml:space="preserve">RFQ/2021/19995</w:t>
      </w:r>
    </w:p>
    <w:p w:rsidR="00000000" w:rsidDel="00000000" w:rsidP="00000000" w:rsidRDefault="00000000" w:rsidRPr="00000000" w14:paraId="00000003">
      <w:pPr>
        <w:keepNext w:val="1"/>
        <w:keepLines w:val="1"/>
        <w:spacing w:after="120" w:before="240" w:lineRule="auto"/>
        <w:rPr>
          <w:sz w:val="24"/>
          <w:szCs w:val="24"/>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04">
      <w:pPr>
        <w:numPr>
          <w:ilvl w:val="0"/>
          <w:numId w:val="1"/>
        </w:numPr>
        <w:ind w:left="284" w:hanging="425"/>
        <w:rPr>
          <w:b w:val="1"/>
          <w:sz w:val="22"/>
          <w:szCs w:val="22"/>
        </w:rPr>
      </w:pPr>
      <w:r w:rsidDel="00000000" w:rsidR="00000000" w:rsidRPr="00000000">
        <w:rPr>
          <w:b w:val="1"/>
          <w:sz w:val="22"/>
          <w:szCs w:val="22"/>
          <w:rtl w:val="0"/>
        </w:rPr>
        <w:t xml:space="preserve">Summary of Requirements for Light and Sound Bars.</w:t>
        <w:tab/>
        <w:tab/>
        <w:tab/>
        <w:tab/>
        <w:tab/>
        <w:tab/>
        <w:tab/>
      </w:r>
      <w:r w:rsidDel="00000000" w:rsidR="00000000" w:rsidRPr="00000000">
        <w:rPr>
          <w:sz w:val="22"/>
          <w:szCs w:val="22"/>
          <w:rtl w:val="0"/>
        </w:rPr>
        <w:tab/>
        <w:tab/>
        <w:tab/>
      </w:r>
      <w:r w:rsidDel="00000000" w:rsidR="00000000" w:rsidRPr="00000000">
        <w:rPr>
          <w:rtl w:val="0"/>
        </w:rPr>
      </w:r>
    </w:p>
    <w:p w:rsidR="00000000" w:rsidDel="00000000" w:rsidP="00000000" w:rsidRDefault="00000000" w:rsidRPr="00000000" w14:paraId="00000005">
      <w:pPr>
        <w:tabs>
          <w:tab w:val="right" w:pos="7272"/>
        </w:tabs>
        <w:spacing w:after="60" w:before="60" w:lineRule="auto"/>
        <w:rPr>
          <w:sz w:val="22"/>
          <w:szCs w:val="22"/>
        </w:rPr>
      </w:pPr>
      <w:bookmarkStart w:colFirst="0" w:colLast="0" w:name="_heading=h.gjdgxs" w:id="0"/>
      <w:bookmarkEnd w:id="0"/>
      <w:r w:rsidDel="00000000" w:rsidR="00000000" w:rsidRPr="00000000">
        <w:rPr>
          <w:b w:val="1"/>
          <w:sz w:val="22"/>
          <w:szCs w:val="22"/>
          <w:rtl w:val="0"/>
        </w:rPr>
        <w:t xml:space="preserve">Supply and installation of Light and Sound Bars for Forensic laboratory vehicles of the National Police of Ukraine </w:t>
      </w:r>
      <w:r w:rsidDel="00000000" w:rsidR="00000000" w:rsidRPr="00000000">
        <w:rPr>
          <w:b w:val="1"/>
          <w:color w:val="000000"/>
          <w:sz w:val="22"/>
          <w:szCs w:val="22"/>
          <w:rtl w:val="0"/>
        </w:rPr>
        <w:t xml:space="preserve">as further described in the </w:t>
      </w:r>
      <w:r w:rsidDel="00000000" w:rsidR="00000000" w:rsidRPr="00000000">
        <w:rPr>
          <w:b w:val="1"/>
          <w:sz w:val="22"/>
          <w:szCs w:val="22"/>
          <w:rtl w:val="0"/>
        </w:rPr>
        <w:t xml:space="preserve">T</w:t>
      </w:r>
      <w:r w:rsidDel="00000000" w:rsidR="00000000" w:rsidRPr="00000000">
        <w:rPr>
          <w:b w:val="1"/>
          <w:color w:val="000000"/>
          <w:sz w:val="22"/>
          <w:szCs w:val="22"/>
          <w:rtl w:val="0"/>
        </w:rPr>
        <w:t xml:space="preserve">able B. Technical Specification for Goods and comparative data table</w:t>
      </w:r>
      <w:r w:rsidDel="00000000" w:rsidR="00000000" w:rsidRPr="00000000">
        <w:rPr>
          <w:rtl w:val="0"/>
        </w:rPr>
      </w:r>
    </w:p>
    <w:p w:rsidR="00000000" w:rsidDel="00000000" w:rsidP="00000000" w:rsidRDefault="00000000" w:rsidRPr="00000000" w14:paraId="00000006">
      <w:pPr>
        <w:tabs>
          <w:tab w:val="left" w:pos="-720"/>
          <w:tab w:val="left" w:pos="0"/>
          <w:tab w:val="left" w:pos="720"/>
          <w:tab w:val="right" w:pos="8640"/>
        </w:tabs>
        <w:jc w:val="both"/>
        <w:rPr>
          <w:sz w:val="22"/>
          <w:szCs w:val="22"/>
        </w:rPr>
      </w:pPr>
      <w:r w:rsidDel="00000000" w:rsidR="00000000" w:rsidRPr="00000000">
        <w:rPr>
          <w:rtl w:val="0"/>
        </w:rPr>
      </w:r>
    </w:p>
    <w:p w:rsidR="00000000" w:rsidDel="00000000" w:rsidP="00000000" w:rsidRDefault="00000000" w:rsidRPr="00000000" w14:paraId="00000007">
      <w:pPr>
        <w:numPr>
          <w:ilvl w:val="0"/>
          <w:numId w:val="1"/>
        </w:numPr>
        <w:spacing w:after="280" w:lineRule="auto"/>
        <w:ind w:left="284" w:hanging="426"/>
        <w:rPr>
          <w:b w:val="1"/>
        </w:rPr>
      </w:pPr>
      <w:bookmarkStart w:colFirst="0" w:colLast="0" w:name="_heading=h.30j0zll" w:id="1"/>
      <w:bookmarkEnd w:id="1"/>
      <w:r w:rsidDel="00000000" w:rsidR="00000000" w:rsidRPr="00000000">
        <w:rPr>
          <w:b w:val="1"/>
          <w:sz w:val="22"/>
          <w:szCs w:val="22"/>
          <w:rtl w:val="0"/>
        </w:rPr>
        <w:t xml:space="preserve">Technical specifications for Goods and Comparative Data Tables</w:t>
        <w:tab/>
        <w:tab/>
        <w:tab/>
        <w:t xml:space="preserve"> </w:t>
      </w:r>
      <w:r w:rsidDel="00000000" w:rsidR="00000000" w:rsidRPr="00000000">
        <w:rPr>
          <w:rtl w:val="0"/>
        </w:rPr>
      </w:r>
    </w:p>
    <w:tbl>
      <w:tblPr>
        <w:tblStyle w:val="Table1"/>
        <w:tblW w:w="10735.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5"/>
        <w:gridCol w:w="6660"/>
        <w:gridCol w:w="1724"/>
        <w:gridCol w:w="1696"/>
        <w:tblGridChange w:id="0">
          <w:tblGrid>
            <w:gridCol w:w="655"/>
            <w:gridCol w:w="6660"/>
            <w:gridCol w:w="1724"/>
            <w:gridCol w:w="1696"/>
          </w:tblGrid>
        </w:tblGridChange>
      </w:tblGrid>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08">
            <w:pPr>
              <w:jc w:val="center"/>
              <w:rPr/>
            </w:pPr>
            <w:r w:rsidDel="00000000" w:rsidR="00000000" w:rsidRPr="00000000">
              <w:rPr>
                <w:b w:val="1"/>
                <w:rtl w:val="0"/>
              </w:rPr>
              <w:t xml:space="preserve">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09">
            <w:pPr>
              <w:jc w:val="center"/>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0A">
            <w:pPr>
              <w:jc w:val="center"/>
              <w:rPr/>
            </w:pPr>
            <w:r w:rsidDel="00000000" w:rsidR="00000000" w:rsidRPr="00000000">
              <w:rPr>
                <w:b w:val="1"/>
                <w:rtl w:val="0"/>
              </w:rPr>
              <w:t xml:space="preserve">Is quotation compliant? </w:t>
            </w:r>
            <w:r w:rsidDel="00000000" w:rsidR="00000000" w:rsidRPr="00000000">
              <w:rPr>
                <w:rtl w:val="0"/>
              </w:rPr>
              <w:t xml:space="preserve">Bidder to complete</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0B">
            <w:pPr>
              <w:jc w:val="center"/>
              <w:rPr>
                <w:b w:val="1"/>
              </w:rPr>
            </w:pPr>
            <w:r w:rsidDel="00000000" w:rsidR="00000000" w:rsidRPr="00000000">
              <w:rPr>
                <w:b w:val="1"/>
                <w:rtl w:val="0"/>
              </w:rPr>
              <w:t xml:space="preserve">Details of goods offered.</w:t>
            </w:r>
          </w:p>
          <w:p w:rsidR="00000000" w:rsidDel="00000000" w:rsidP="00000000" w:rsidRDefault="00000000" w:rsidRPr="00000000" w14:paraId="0000000C">
            <w:pPr>
              <w:jc w:val="center"/>
              <w:rPr/>
            </w:pPr>
            <w:r w:rsidDel="00000000" w:rsidR="00000000" w:rsidRPr="00000000">
              <w:rPr>
                <w:rtl w:val="0"/>
              </w:rPr>
              <w:t xml:space="preserve">Bidder to complete</w:t>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0D">
            <w:pPr>
              <w:spacing w:before="0" w:lineRule="auto"/>
              <w:jc w:val="cente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0E">
            <w:pPr>
              <w:spacing w:before="0" w:lineRule="auto"/>
              <w:rPr/>
            </w:pPr>
            <w:r w:rsidDel="00000000" w:rsidR="00000000" w:rsidRPr="00000000">
              <w:rPr>
                <w:b w:val="1"/>
                <w:rtl w:val="0"/>
              </w:rPr>
              <w:t xml:space="preserve">General technical requirements for Light and Sound Bars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0F">
            <w:pPr>
              <w:spacing w:before="0" w:lineRule="auto"/>
              <w:jc w:val="cente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0">
            <w:pPr>
              <w:spacing w:before="0" w:lineRule="auto"/>
              <w:jc w:val="center"/>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1">
            <w:pPr>
              <w:widowControl w:val="0"/>
              <w:spacing w:before="0" w:line="276" w:lineRule="auto"/>
              <w:jc w:val="center"/>
              <w:rPr/>
            </w:pPr>
            <w:r w:rsidDel="00000000" w:rsidR="00000000" w:rsidRPr="00000000">
              <w:rPr>
                <w:rtl w:val="0"/>
              </w:rPr>
              <w:t xml:space="preserve">1</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2">
            <w:pPr>
              <w:widowControl w:val="0"/>
              <w:spacing w:before="0" w:line="276" w:lineRule="auto"/>
              <w:rPr/>
            </w:pPr>
            <w:r w:rsidDel="00000000" w:rsidR="00000000" w:rsidRPr="00000000">
              <w:rPr>
                <w:color w:val="01011b"/>
                <w:rtl w:val="0"/>
              </w:rPr>
              <w:t xml:space="preserve">Control of light and sound signals on the microphone SGU (Signal loud-speaker setup (SGU), speakers)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3">
            <w:pPr>
              <w:spacing w:before="0" w:lineRule="auto"/>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4">
            <w:pPr>
              <w:spacing w:before="0" w:lineRule="auto"/>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301"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5">
            <w:pPr>
              <w:widowControl w:val="0"/>
              <w:spacing w:before="0" w:line="276" w:lineRule="auto"/>
              <w:jc w:val="center"/>
              <w:rPr/>
            </w:pPr>
            <w:r w:rsidDel="00000000" w:rsidR="00000000" w:rsidRPr="00000000">
              <w:rPr>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6">
            <w:pPr>
              <w:widowControl w:val="0"/>
              <w:spacing w:before="0" w:line="276" w:lineRule="auto"/>
              <w:rPr/>
            </w:pPr>
            <w:r w:rsidDel="00000000" w:rsidR="00000000" w:rsidRPr="00000000">
              <w:rPr>
                <w:rtl w:val="0"/>
              </w:rPr>
              <w:t xml:space="preserve">SGU</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7">
            <w:pPr>
              <w:spacing w:before="0" w:lineRule="auto"/>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8">
            <w:pPr>
              <w:spacing w:before="0" w:lineRule="auto"/>
              <w:jc w:val="center"/>
              <w:rPr>
                <w:highlight w:val="cyan"/>
              </w:rPr>
            </w:pPr>
            <w:r w:rsidDel="00000000" w:rsidR="00000000" w:rsidRPr="00000000">
              <w:rPr>
                <w:highlight w:val="cyan"/>
                <w:rtl w:val="0"/>
              </w:rPr>
              <w:t xml:space="preserve">Insert details</w:t>
            </w:r>
          </w:p>
        </w:tc>
      </w:tr>
      <w:tr>
        <w:trPr>
          <w:cantSplit w:val="0"/>
          <w:trHeight w:val="301"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9">
            <w:pPr>
              <w:widowControl w:val="0"/>
              <w:spacing w:before="0"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A">
            <w:pPr>
              <w:widowControl w:val="0"/>
              <w:spacing w:before="0" w:line="276" w:lineRule="auto"/>
              <w:rPr/>
            </w:pPr>
            <w:r w:rsidDel="00000000" w:rsidR="00000000" w:rsidRPr="00000000">
              <w:rPr>
                <w:rtl w:val="0"/>
              </w:rPr>
              <w:t xml:space="preserve">SGU (Signal loud-speaker) is located inside the light bar</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B">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C">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D">
            <w:pPr>
              <w:widowControl w:val="0"/>
              <w:spacing w:before="0" w:line="276" w:lineRule="auto"/>
              <w:jc w:val="center"/>
              <w:rPr/>
            </w:pPr>
            <w:r w:rsidDel="00000000" w:rsidR="00000000" w:rsidRPr="00000000">
              <w:rPr>
                <w:rtl w:val="0"/>
              </w:rPr>
              <w:t xml:space="preserve">2.2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E">
            <w:pPr>
              <w:widowControl w:val="0"/>
              <w:spacing w:line="276" w:lineRule="auto"/>
              <w:rPr/>
            </w:pPr>
            <w:r w:rsidDel="00000000" w:rsidR="00000000" w:rsidRPr="00000000">
              <w:rPr>
                <w:rtl w:val="0"/>
              </w:rPr>
              <w:t xml:space="preserve">SGU power: 140-150 W output</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1F">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0">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1">
            <w:pPr>
              <w:widowControl w:val="0"/>
              <w:spacing w:before="0" w:line="276" w:lineRule="auto"/>
              <w:jc w:val="center"/>
              <w:rPr/>
            </w:pPr>
            <w:r w:rsidDel="00000000" w:rsidR="00000000" w:rsidRPr="00000000">
              <w:rPr>
                <w:rtl w:val="0"/>
              </w:rPr>
              <w:t xml:space="preserve">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2">
            <w:pPr>
              <w:widowControl w:val="0"/>
              <w:spacing w:before="0" w:line="276" w:lineRule="auto"/>
              <w:rPr/>
            </w:pPr>
            <w:r w:rsidDel="00000000" w:rsidR="00000000" w:rsidRPr="00000000">
              <w:rPr>
                <w:rtl w:val="0"/>
              </w:rPr>
              <w:t xml:space="preserve">4 types of siren: WAIL, YELP, HI-LO, AIRHORN</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3">
            <w:pPr>
              <w:spacing w:before="0" w:lineRule="auto"/>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4">
            <w:pPr>
              <w:spacing w:before="0" w:lineRule="auto"/>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5">
            <w:pPr>
              <w:widowControl w:val="0"/>
              <w:spacing w:before="0" w:line="276" w:lineRule="auto"/>
              <w:jc w:val="center"/>
              <w:rPr/>
            </w:pPr>
            <w:r w:rsidDel="00000000" w:rsidR="00000000" w:rsidRPr="00000000">
              <w:rPr>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6">
            <w:pPr>
              <w:widowControl w:val="0"/>
              <w:spacing w:before="0" w:line="276" w:lineRule="auto"/>
              <w:rPr/>
            </w:pPr>
            <w:r w:rsidDel="00000000" w:rsidR="00000000" w:rsidRPr="00000000">
              <w:rPr>
                <w:rtl w:val="0"/>
              </w:rPr>
              <w:t xml:space="preserve">5 operating modes</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7">
            <w:pPr>
              <w:spacing w:before="0" w:lineRule="auto"/>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8">
            <w:pPr>
              <w:spacing w:before="0" w:lineRule="auto"/>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9">
            <w:pPr>
              <w:widowControl w:val="0"/>
              <w:spacing w:before="0" w:line="276" w:lineRule="auto"/>
              <w:jc w:val="center"/>
              <w:rPr/>
            </w:pPr>
            <w:r w:rsidDel="00000000" w:rsidR="00000000" w:rsidRPr="00000000">
              <w:rPr>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A">
            <w:pPr>
              <w:widowControl w:val="0"/>
              <w:spacing w:before="0" w:line="276" w:lineRule="auto"/>
              <w:rPr/>
            </w:pPr>
            <w:r w:rsidDel="00000000" w:rsidR="00000000" w:rsidRPr="00000000">
              <w:rPr>
                <w:rtl w:val="0"/>
              </w:rPr>
              <w:t xml:space="preserve">Number of LEDs - 84 pcs.</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B">
            <w:pPr>
              <w:spacing w:before="0" w:lineRule="auto"/>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C">
            <w:pPr>
              <w:spacing w:before="0" w:lineRule="auto"/>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D">
            <w:pPr>
              <w:widowControl w:val="0"/>
              <w:spacing w:before="0" w:line="276" w:lineRule="auto"/>
              <w:jc w:val="center"/>
              <w:rPr/>
            </w:pPr>
            <w:r w:rsidDel="00000000" w:rsidR="00000000" w:rsidRPr="00000000">
              <w:rPr>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E">
            <w:pPr>
              <w:widowControl w:val="0"/>
              <w:spacing w:before="0" w:line="276" w:lineRule="auto"/>
              <w:rPr/>
            </w:pPr>
            <w:r w:rsidDel="00000000" w:rsidR="00000000" w:rsidRPr="00000000">
              <w:rPr>
                <w:rtl w:val="0"/>
              </w:rPr>
              <w:t xml:space="preserve">Voltage: 12V or 24V</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2F">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0">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1">
            <w:pPr>
              <w:widowControl w:val="0"/>
              <w:spacing w:before="0" w:line="276" w:lineRule="auto"/>
              <w:jc w:val="center"/>
              <w:rPr/>
            </w:pPr>
            <w:r w:rsidDel="00000000" w:rsidR="00000000" w:rsidRPr="00000000">
              <w:rPr>
                <w:rtl w:val="0"/>
              </w:rPr>
              <w:t xml:space="preserve">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2">
            <w:pPr>
              <w:widowControl w:val="0"/>
              <w:spacing w:before="0" w:line="276" w:lineRule="auto"/>
              <w:rPr/>
            </w:pPr>
            <w:r w:rsidDel="00000000" w:rsidR="00000000" w:rsidRPr="00000000">
              <w:rPr>
                <w:rtl w:val="0"/>
              </w:rPr>
              <w:t xml:space="preserve">Light panel color: blue / blue</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3">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4">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5">
            <w:pPr>
              <w:widowControl w:val="0"/>
              <w:spacing w:before="0" w:line="276" w:lineRule="auto"/>
              <w:jc w:val="center"/>
              <w:rPr/>
            </w:pPr>
            <w:r w:rsidDel="00000000" w:rsidR="00000000" w:rsidRPr="00000000">
              <w:rPr>
                <w:rtl w:val="0"/>
              </w:rPr>
              <w:t xml:space="preserve">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spacing w:before="0" w:line="276" w:lineRule="auto"/>
              <w:rPr/>
            </w:pPr>
            <w:r w:rsidDel="00000000" w:rsidR="00000000" w:rsidRPr="00000000">
              <w:rPr>
                <w:rtl w:val="0"/>
              </w:rPr>
              <w:t xml:space="preserve">Dimensions: Length not less than 1180 mm and not more than 1200 mm</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7">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8">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spacing w:before="0" w:line="276" w:lineRule="auto"/>
              <w:jc w:val="center"/>
              <w:rPr/>
            </w:pPr>
            <w:r w:rsidDel="00000000" w:rsidR="00000000" w:rsidRPr="00000000">
              <w:rPr>
                <w:rtl w:val="0"/>
              </w:rPr>
              <w:t xml:space="preserve">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spacing w:before="0" w:line="276" w:lineRule="auto"/>
              <w:rPr/>
            </w:pPr>
            <w:r w:rsidDel="00000000" w:rsidR="00000000" w:rsidRPr="00000000">
              <w:rPr>
                <w:rtl w:val="0"/>
              </w:rPr>
              <w:t xml:space="preserve">Width: not less than 240 mm and not more than 250 mm</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B">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C">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D">
            <w:pPr>
              <w:widowControl w:val="0"/>
              <w:spacing w:before="0" w:line="276" w:lineRule="auto"/>
              <w:jc w:val="center"/>
              <w:rPr/>
            </w:pPr>
            <w:r w:rsidDel="00000000" w:rsidR="00000000" w:rsidRPr="00000000">
              <w:rPr>
                <w:rtl w:val="0"/>
              </w:rPr>
              <w:t xml:space="preserve">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spacing w:before="0" w:line="276" w:lineRule="auto"/>
              <w:rPr/>
            </w:pPr>
            <w:r w:rsidDel="00000000" w:rsidR="00000000" w:rsidRPr="00000000">
              <w:rPr>
                <w:rtl w:val="0"/>
              </w:rPr>
              <w:t xml:space="preserve">Height: not less than 45 mm. and not more than 50 mm</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3F">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0">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spacing w:before="0" w:line="276" w:lineRule="auto"/>
              <w:jc w:val="center"/>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before="0" w:line="276" w:lineRule="auto"/>
              <w:rPr/>
            </w:pPr>
            <w:r w:rsidDel="00000000" w:rsidR="00000000" w:rsidRPr="00000000">
              <w:rPr>
                <w:rtl w:val="0"/>
              </w:rPr>
              <w:t xml:space="preserve">Compatibility requirements: to be installed on the RENAULT TRAFIC L2H1 vehicle</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3">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4">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spacing w:before="0" w:line="276" w:lineRule="auto"/>
              <w:jc w:val="center"/>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spacing w:before="0" w:line="276" w:lineRule="auto"/>
              <w:rPr/>
            </w:pPr>
            <w:r w:rsidDel="00000000" w:rsidR="00000000" w:rsidRPr="00000000">
              <w:rPr>
                <w:rtl w:val="0"/>
              </w:rPr>
              <w:t xml:space="preserve">Services on installation and connection of the equipment on RENAULT TRAFIC L2H1 vehicle at the End User’s site - Service Center of the National Police of Ukraine (27 Svyatoshynska Street, Kyiv, Ukraine). </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7">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8">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9">
            <w:pPr>
              <w:spacing w:before="0" w:lineRule="auto"/>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A">
            <w:pPr>
              <w:spacing w:before="0" w:lineRule="auto"/>
              <w:rPr/>
            </w:pPr>
            <w:r w:rsidDel="00000000" w:rsidR="00000000" w:rsidRPr="00000000">
              <w:rPr>
                <w:b w:val="1"/>
                <w:rtl w:val="0"/>
              </w:rPr>
              <w:t xml:space="preserve">The period of validity of the Warranty. </w:t>
            </w:r>
            <w:r w:rsidDel="00000000" w:rsidR="00000000" w:rsidRPr="00000000">
              <w:rPr>
                <w:rtl w:val="0"/>
              </w:rPr>
              <w:t xml:space="preserve">The warranty shall remain valid for twelve (12) months after the Goods, or any portion thereof as the case may be, have been delivered to and accepted at the final destination. The Warranty should include corrective maintenance, replacement of defective parts/equipment, repair of equipment, labour for equipment repair and/or parts replacement.</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B">
            <w:pPr>
              <w:spacing w:before="0" w:lineRule="auto"/>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C">
            <w:pPr>
              <w:spacing w:before="0" w:lineRule="auto"/>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D">
            <w:pPr>
              <w:spacing w:before="0" w:lineRule="auto"/>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E">
            <w:pPr>
              <w:spacing w:before="0" w:lineRule="auto"/>
              <w:rPr/>
            </w:pPr>
            <w:r w:rsidDel="00000000" w:rsidR="00000000" w:rsidRPr="00000000">
              <w:rPr>
                <w:b w:val="1"/>
                <w:rtl w:val="0"/>
              </w:rPr>
              <w:t xml:space="preserve">Warranty service.  </w:t>
            </w:r>
            <w:r w:rsidDel="00000000" w:rsidR="00000000" w:rsidRPr="00000000">
              <w:rPr>
                <w:rtl w:val="0"/>
              </w:rPr>
              <w:t xml:space="preserve">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4F">
            <w:pPr>
              <w:spacing w:before="0" w:lineRule="auto"/>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50">
            <w:pPr>
              <w:spacing w:before="0" w:lineRule="auto"/>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51">
            <w:pPr>
              <w:spacing w:before="0" w:lineRule="auto"/>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52">
            <w:pPr>
              <w:spacing w:before="0" w:lineRule="auto"/>
              <w:rPr>
                <w:b w:val="1"/>
              </w:rPr>
            </w:pPr>
            <w:r w:rsidDel="00000000" w:rsidR="00000000" w:rsidRPr="00000000">
              <w:rPr>
                <w:b w:val="1"/>
                <w:rtl w:val="0"/>
              </w:rPr>
              <w:t xml:space="preserve">Bid includes brand/model of the equipment and manufacturer's technical literature/catalogue, all confirming that the offered items comply with required specifications. A picture/photo of the equipment needs to be submitted as a separate file if not already included in the manufacturer's technical literature/catalogue. </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53">
            <w:pPr>
              <w:spacing w:before="0" w:lineRule="auto"/>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54">
            <w:pPr>
              <w:spacing w:before="0" w:lineRule="auto"/>
              <w:jc w:val="center"/>
              <w:rPr>
                <w:highlight w:val="cyan"/>
              </w:rPr>
            </w:pPr>
            <w:r w:rsidDel="00000000" w:rsidR="00000000" w:rsidRPr="00000000">
              <w:rPr>
                <w:highlight w:val="cyan"/>
                <w:rtl w:val="0"/>
              </w:rPr>
              <w:t xml:space="preserve">Insert details</w:t>
            </w:r>
          </w:p>
        </w:tc>
      </w:tr>
    </w:tbl>
    <w:p w:rsidR="00000000" w:rsidDel="00000000" w:rsidP="00000000" w:rsidRDefault="00000000" w:rsidRPr="00000000" w14:paraId="00000055">
      <w:pPr>
        <w:tabs>
          <w:tab w:val="right" w:pos="8640"/>
        </w:tabs>
        <w:ind w:left="720" w:hanging="720"/>
        <w:rPr/>
      </w:pPr>
      <w:r w:rsidDel="00000000" w:rsidR="00000000" w:rsidRPr="00000000">
        <w:rPr>
          <w:rtl w:val="0"/>
        </w:rPr>
      </w:r>
    </w:p>
    <w:p w:rsidR="00000000" w:rsidDel="00000000" w:rsidP="00000000" w:rsidRDefault="00000000" w:rsidRPr="00000000" w14:paraId="00000056">
      <w:pPr>
        <w:tabs>
          <w:tab w:val="right" w:pos="8640"/>
        </w:tabs>
        <w:ind w:left="720" w:hanging="720"/>
        <w:rPr>
          <w:sz w:val="22"/>
          <w:szCs w:val="22"/>
        </w:rPr>
      </w:pPr>
      <w:r w:rsidDel="00000000" w:rsidR="00000000" w:rsidRPr="00000000">
        <w:rPr>
          <w:b w:val="1"/>
          <w:sz w:val="22"/>
          <w:szCs w:val="22"/>
          <w:rtl w:val="0"/>
        </w:rPr>
        <w:t xml:space="preserve">C. Delivery requirements and Comparative Data Table</w:t>
      </w:r>
      <w:r w:rsidDel="00000000" w:rsidR="00000000" w:rsidRPr="00000000">
        <w:rPr>
          <w:rtl w:val="0"/>
        </w:rPr>
      </w:r>
    </w:p>
    <w:p w:rsidR="00000000" w:rsidDel="00000000" w:rsidP="00000000" w:rsidRDefault="00000000" w:rsidRPr="00000000" w14:paraId="00000057">
      <w:pPr>
        <w:tabs>
          <w:tab w:val="right" w:pos="8640"/>
        </w:tabs>
        <w:ind w:left="720" w:hanging="720"/>
        <w:rPr/>
      </w:pPr>
      <w:r w:rsidDel="00000000" w:rsidR="00000000" w:rsidRPr="00000000">
        <w:rPr>
          <w:rtl w:val="0"/>
        </w:rPr>
      </w:r>
    </w:p>
    <w:tbl>
      <w:tblPr>
        <w:tblStyle w:val="Table2"/>
        <w:tblW w:w="10440.0" w:type="dxa"/>
        <w:jc w:val="left"/>
        <w:tblInd w:w="-2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5220"/>
        <w:gridCol w:w="1710"/>
        <w:gridCol w:w="1710"/>
        <w:tblGridChange w:id="0">
          <w:tblGrid>
            <w:gridCol w:w="1800"/>
            <w:gridCol w:w="5220"/>
            <w:gridCol w:w="1710"/>
            <w:gridCol w:w="171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58">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05A">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5B">
            <w:pPr>
              <w:jc w:val="center"/>
              <w:rPr>
                <w:b w:val="1"/>
              </w:rPr>
            </w:pPr>
            <w:r w:rsidDel="00000000" w:rsidR="00000000" w:rsidRPr="00000000">
              <w:rPr>
                <w:b w:val="1"/>
                <w:rtl w:val="0"/>
              </w:rPr>
              <w:t xml:space="preserve">Details </w:t>
            </w:r>
          </w:p>
          <w:p w:rsidR="00000000" w:rsidDel="00000000" w:rsidP="00000000" w:rsidRDefault="00000000" w:rsidRPr="00000000" w14:paraId="0000005C">
            <w:pPr>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5D">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05E">
            <w:pPr>
              <w:rPr>
                <w:highlight w:val="yellow"/>
              </w:rPr>
            </w:pPr>
            <w:r w:rsidDel="00000000" w:rsidR="00000000" w:rsidRPr="00000000">
              <w:rPr>
                <w:rtl w:val="0"/>
              </w:rPr>
              <w:t xml:space="preserve">Bidder shall deliver the goods within</w:t>
            </w:r>
            <w:r w:rsidDel="00000000" w:rsidR="00000000" w:rsidRPr="00000000">
              <w:rPr>
                <w:b w:val="1"/>
                <w:rtl w:val="0"/>
              </w:rPr>
              <w:t xml:space="preserve"> two months</w:t>
            </w:r>
            <w:r w:rsidDel="00000000" w:rsidR="00000000" w:rsidRPr="00000000">
              <w:rPr>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05F">
            <w:pPr>
              <w:jc w:val="center"/>
              <w:rPr/>
            </w:pPr>
            <w:r w:rsidDel="00000000" w:rsidR="00000000" w:rsidRPr="00000000">
              <w:rPr>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60">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61">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062">
            <w:pPr>
              <w:rPr/>
            </w:pPr>
            <w:r w:rsidDel="00000000" w:rsidR="00000000" w:rsidRPr="00000000">
              <w:rPr>
                <w:rtl w:val="0"/>
              </w:rPr>
              <w:t xml:space="preserve">DAP Customs cleared, Kyiv, Ukraine +</w:t>
            </w:r>
          </w:p>
          <w:p w:rsidR="00000000" w:rsidDel="00000000" w:rsidP="00000000" w:rsidRDefault="00000000" w:rsidRPr="00000000" w14:paraId="00000063">
            <w:pPr>
              <w:rPr/>
            </w:pPr>
            <w:r w:rsidDel="00000000" w:rsidR="00000000" w:rsidRPr="00000000">
              <w:rPr>
                <w:rtl w:val="0"/>
              </w:rPr>
              <w:t xml:space="preserve">offloading of goods at final destination</w:t>
            </w:r>
          </w:p>
        </w:tc>
        <w:tc>
          <w:tcPr>
            <w:vAlign w:val="center"/>
          </w:tcPr>
          <w:p w:rsidR="00000000" w:rsidDel="00000000" w:rsidP="00000000" w:rsidRDefault="00000000" w:rsidRPr="00000000" w14:paraId="00000064">
            <w:pPr>
              <w:jc w:val="center"/>
              <w:rPr>
                <w:color w:val="000000"/>
                <w:highlight w:val="cyan"/>
              </w:rPr>
            </w:pPr>
            <w:r w:rsidDel="00000000" w:rsidR="00000000" w:rsidRPr="00000000">
              <w:rPr>
                <w:color w:val="000000"/>
                <w:highlight w:val="cyan"/>
                <w:rtl w:val="0"/>
              </w:rPr>
              <w:t xml:space="preserve">☐ Yes   ☐ No</w:t>
            </w:r>
          </w:p>
        </w:tc>
        <w:tc>
          <w:tcPr>
            <w:vAlign w:val="center"/>
          </w:tcPr>
          <w:p w:rsidR="00000000" w:rsidDel="00000000" w:rsidP="00000000" w:rsidRDefault="00000000" w:rsidRPr="00000000" w14:paraId="00000065">
            <w:pPr>
              <w:jc w:val="center"/>
              <w:rPr>
                <w:color w:val="000000"/>
                <w:highlight w:val="cyan"/>
              </w:rPr>
            </w:pPr>
            <w:r w:rsidDel="00000000" w:rsidR="00000000" w:rsidRPr="00000000">
              <w:rPr>
                <w:color w:val="000000"/>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066">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067">
            <w:pPr>
              <w:rPr/>
            </w:pPr>
            <w:r w:rsidDel="00000000" w:rsidR="00000000" w:rsidRPr="00000000">
              <w:rPr>
                <w:rtl w:val="0"/>
              </w:rPr>
              <w:t xml:space="preserve">UNOPS,</w:t>
            </w:r>
          </w:p>
          <w:p w:rsidR="00000000" w:rsidDel="00000000" w:rsidP="00000000" w:rsidRDefault="00000000" w:rsidRPr="00000000" w14:paraId="00000068">
            <w:pPr>
              <w:rPr/>
            </w:pPr>
            <w:r w:rsidDel="00000000" w:rsidR="00000000" w:rsidRPr="00000000">
              <w:rPr>
                <w:rtl w:val="0"/>
              </w:rPr>
              <w:t xml:space="preserve">Service Center of the National Police of Ukraine (27, Svyatoshynska Street, Kyiv, Ukraine)</w:t>
            </w:r>
          </w:p>
        </w:tc>
        <w:tc>
          <w:tcPr>
            <w:vAlign w:val="center"/>
          </w:tcPr>
          <w:p w:rsidR="00000000" w:rsidDel="00000000" w:rsidP="00000000" w:rsidRDefault="00000000" w:rsidRPr="00000000" w14:paraId="00000069">
            <w:pPr>
              <w:jc w:val="center"/>
              <w:rPr>
                <w:color w:val="000000"/>
                <w:highlight w:val="cyan"/>
              </w:rPr>
            </w:pPr>
            <w:r w:rsidDel="00000000" w:rsidR="00000000" w:rsidRPr="00000000">
              <w:rPr>
                <w:color w:val="000000"/>
                <w:highlight w:val="cyan"/>
                <w:rtl w:val="0"/>
              </w:rPr>
              <w:t xml:space="preserve">☐ Yes   ☐ No</w:t>
            </w:r>
          </w:p>
        </w:tc>
        <w:tc>
          <w:tcPr>
            <w:vAlign w:val="center"/>
          </w:tcPr>
          <w:p w:rsidR="00000000" w:rsidDel="00000000" w:rsidP="00000000" w:rsidRDefault="00000000" w:rsidRPr="00000000" w14:paraId="0000006A">
            <w:pPr>
              <w:jc w:val="center"/>
              <w:rPr>
                <w:color w:val="000000"/>
                <w:highlight w:val="cyan"/>
              </w:rPr>
            </w:pPr>
            <w:r w:rsidDel="00000000" w:rsidR="00000000" w:rsidRPr="00000000">
              <w:rPr>
                <w:color w:val="000000"/>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06B">
            <w:pPr>
              <w:rPr>
                <w:b w:val="1"/>
              </w:rPr>
            </w:pPr>
            <w:r w:rsidDel="00000000" w:rsidR="00000000" w:rsidRPr="00000000">
              <w:rPr>
                <w:b w:val="1"/>
                <w:rtl w:val="0"/>
              </w:rPr>
              <w:t xml:space="preserve">Acceptance</w:t>
            </w:r>
          </w:p>
        </w:tc>
        <w:tc>
          <w:tcP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Bidder shall remain liable for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06D">
            <w:pPr>
              <w:jc w:val="center"/>
              <w:rPr>
                <w:color w:val="000000"/>
                <w:highlight w:val="cyan"/>
              </w:rPr>
            </w:pPr>
            <w:r w:rsidDel="00000000" w:rsidR="00000000" w:rsidRPr="00000000">
              <w:rPr>
                <w:color w:val="000000"/>
                <w:highlight w:val="cyan"/>
                <w:rtl w:val="0"/>
              </w:rPr>
              <w:t xml:space="preserve">☐ Yes   ☐ No</w:t>
            </w:r>
          </w:p>
        </w:tc>
        <w:tc>
          <w:tcPr>
            <w:vAlign w:val="center"/>
          </w:tcPr>
          <w:p w:rsidR="00000000" w:rsidDel="00000000" w:rsidP="00000000" w:rsidRDefault="00000000" w:rsidRPr="00000000" w14:paraId="0000006E">
            <w:pPr>
              <w:jc w:val="center"/>
              <w:rPr>
                <w:color w:val="000000"/>
                <w:highlight w:val="cyan"/>
              </w:rPr>
            </w:pPr>
            <w:r w:rsidDel="00000000" w:rsidR="00000000" w:rsidRPr="00000000">
              <w:rPr>
                <w:color w:val="000000"/>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06F">
            <w:pPr>
              <w:rPr>
                <w:b w:val="1"/>
              </w:rPr>
            </w:pPr>
            <w:r w:rsidDel="00000000" w:rsidR="00000000" w:rsidRPr="00000000">
              <w:rPr>
                <w:b w:val="1"/>
                <w:rtl w:val="0"/>
              </w:rPr>
              <w:t xml:space="preserve">Packing standards</w:t>
            </w:r>
          </w:p>
        </w:tc>
        <w:tc>
          <w:tcPr>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Bidder shall ensure the best international packing standards of goods supplied, including use of eco-friendly packing materials.</w:t>
            </w:r>
          </w:p>
        </w:tc>
        <w:tc>
          <w:tcPr>
            <w:vAlign w:val="center"/>
          </w:tcPr>
          <w:p w:rsidR="00000000" w:rsidDel="00000000" w:rsidP="00000000" w:rsidRDefault="00000000" w:rsidRPr="00000000" w14:paraId="00000071">
            <w:pPr>
              <w:jc w:val="center"/>
              <w:rPr>
                <w:color w:val="000000"/>
                <w:highlight w:val="cyan"/>
              </w:rPr>
            </w:pPr>
            <w:r w:rsidDel="00000000" w:rsidR="00000000" w:rsidRPr="00000000">
              <w:rPr>
                <w:color w:val="000000"/>
                <w:highlight w:val="cyan"/>
                <w:rtl w:val="0"/>
              </w:rPr>
              <w:t xml:space="preserve">☐ Yes   ☐ No</w:t>
            </w:r>
          </w:p>
        </w:tc>
        <w:tc>
          <w:tcPr>
            <w:vAlign w:val="center"/>
          </w:tcPr>
          <w:p w:rsidR="00000000" w:rsidDel="00000000" w:rsidP="00000000" w:rsidRDefault="00000000" w:rsidRPr="00000000" w14:paraId="00000072">
            <w:pPr>
              <w:jc w:val="center"/>
              <w:rPr>
                <w:color w:val="000000"/>
                <w:highlight w:val="cyan"/>
              </w:rPr>
            </w:pPr>
            <w:r w:rsidDel="00000000" w:rsidR="00000000" w:rsidRPr="00000000">
              <w:rPr>
                <w:color w:val="000000"/>
                <w:highlight w:val="cyan"/>
                <w:rtl w:val="0"/>
              </w:rPr>
              <w:t xml:space="preserve">Insert details</w:t>
            </w:r>
          </w:p>
        </w:tc>
      </w:tr>
    </w:tbl>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sz w:val="22"/>
          <w:szCs w:val="22"/>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pos="-720"/>
          <w:tab w:val="left" w:pos="0"/>
          <w:tab w:val="left" w:pos="720"/>
          <w:tab w:val="right" w:pos="8640"/>
        </w:tabs>
        <w:ind w:left="142" w:firstLine="0"/>
        <w:rPr>
          <w:b w:val="1"/>
          <w:color w:val="000000"/>
          <w:sz w:val="22"/>
          <w:szCs w:val="22"/>
        </w:rPr>
      </w:pPr>
      <w:r w:rsidDel="00000000" w:rsidR="00000000" w:rsidRPr="00000000">
        <w:rPr>
          <w:b w:val="1"/>
          <w:color w:val="000000"/>
          <w:sz w:val="22"/>
          <w:szCs w:val="22"/>
          <w:rtl w:val="0"/>
        </w:rPr>
        <w:t xml:space="preserve">D. Sustainability Considerations</w:t>
      </w:r>
    </w:p>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pos="-720"/>
          <w:tab w:val="left" w:pos="0"/>
          <w:tab w:val="left" w:pos="720"/>
          <w:tab w:val="right" w:pos="8640"/>
        </w:tabs>
        <w:ind w:left="142" w:firstLine="0"/>
        <w:rPr>
          <w:b w:val="1"/>
          <w:sz w:val="24"/>
          <w:szCs w:val="24"/>
        </w:rPr>
      </w:pPr>
      <w:r w:rsidDel="00000000" w:rsidR="00000000" w:rsidRPr="00000000">
        <w:rPr>
          <w:rtl w:val="0"/>
        </w:rPr>
      </w:r>
    </w:p>
    <w:tbl>
      <w:tblPr>
        <w:tblStyle w:val="Table3"/>
        <w:tblW w:w="10530.0" w:type="dxa"/>
        <w:jc w:val="left"/>
        <w:tblInd w:w="-3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55"/>
        <w:gridCol w:w="5355"/>
        <w:gridCol w:w="1740"/>
        <w:gridCol w:w="1680"/>
        <w:tblGridChange w:id="0">
          <w:tblGrid>
            <w:gridCol w:w="1755"/>
            <w:gridCol w:w="5355"/>
            <w:gridCol w:w="1740"/>
            <w:gridCol w:w="1680"/>
          </w:tblGrid>
        </w:tblGridChange>
      </w:tblGrid>
      <w:tr>
        <w:trPr>
          <w:cantSplit w:val="0"/>
          <w:trHeight w:val="1125"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6">
            <w:pPr>
              <w:jc w:val="center"/>
              <w:rPr>
                <w:b w:val="1"/>
                <w:sz w:val="22"/>
                <w:szCs w:val="22"/>
              </w:rPr>
            </w:pPr>
            <w:bookmarkStart w:colFirst="0" w:colLast="0" w:name="_heading=h.1fob9te" w:id="2"/>
            <w:bookmarkEnd w:id="2"/>
            <w:r w:rsidDel="00000000" w:rsidR="00000000" w:rsidRPr="00000000">
              <w:rPr>
                <w:b w:val="1"/>
                <w:sz w:val="22"/>
                <w:szCs w:val="22"/>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8">
            <w:pPr>
              <w:jc w:val="center"/>
              <w:rPr>
                <w:b w:val="1"/>
                <w:sz w:val="22"/>
                <w:szCs w:val="22"/>
              </w:rPr>
            </w:pPr>
            <w:r w:rsidDel="00000000" w:rsidR="00000000" w:rsidRPr="00000000">
              <w:rPr>
                <w:b w:val="1"/>
                <w:sz w:val="22"/>
                <w:szCs w:val="22"/>
                <w:rtl w:val="0"/>
              </w:rPr>
              <w:t xml:space="preserve">Is bid compliant? </w:t>
            </w:r>
            <w:r w:rsidDel="00000000" w:rsidR="00000000" w:rsidRPr="00000000">
              <w:rPr>
                <w:sz w:val="22"/>
                <w:szCs w:val="22"/>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9">
            <w:pPr>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07A">
            <w:pPr>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15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B">
            <w:pPr>
              <w:jc w:val="both"/>
              <w:rPr>
                <w:b w:val="1"/>
              </w:rPr>
            </w:pPr>
            <w:r w:rsidDel="00000000" w:rsidR="00000000" w:rsidRPr="00000000">
              <w:rPr>
                <w:b w:val="1"/>
                <w:rtl w:val="0"/>
              </w:rPr>
              <w:t xml:space="preserve">Sustainability Requirements - Sustainable Packaging </w:t>
            </w:r>
          </w:p>
          <w:p w:rsidR="00000000" w:rsidDel="00000000" w:rsidP="00000000" w:rsidRDefault="00000000" w:rsidRPr="00000000" w14:paraId="0000007C">
            <w:pP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7D">
            <w:pPr>
              <w:widowControl w:val="0"/>
              <w:spacing w:line="276" w:lineRule="auto"/>
              <w:rPr/>
            </w:pPr>
            <w:r w:rsidDel="00000000" w:rsidR="00000000" w:rsidRPr="00000000">
              <w:rPr>
                <w:rtl w:val="0"/>
              </w:rPr>
              <w:t xml:space="preserve">In accordance with the UN’s efforts to eliminate single use plastics from its operations, bidders are required to avoid any unnecessary packaging and/or to consider more sustainable alternatives which include but are not limited to using biodegradable or recycled packaging, recyclable packaging, offering a packaging take-back option, packaging in bulk or other means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7E">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7F">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51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0">
            <w:pPr>
              <w:jc w:val="both"/>
              <w:rPr>
                <w:b w:val="1"/>
              </w:rPr>
            </w:pPr>
            <w:r w:rsidDel="00000000" w:rsidR="00000000" w:rsidRPr="00000000">
              <w:rPr>
                <w:b w:val="1"/>
                <w:rtl w:val="0"/>
              </w:rPr>
              <w:t xml:space="preserve">Sustainability Requirements - Supplier commitment to gender equality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81">
            <w:pPr>
              <w:widowControl w:val="0"/>
              <w:spacing w:line="276" w:lineRule="auto"/>
              <w:rPr/>
            </w:pPr>
            <w:r w:rsidDel="00000000" w:rsidR="00000000" w:rsidRPr="00000000">
              <w:rPr>
                <w:rtl w:val="0"/>
              </w:rPr>
              <w:t xml:space="preserve">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rsidR="00000000" w:rsidDel="00000000" w:rsidP="00000000" w:rsidRDefault="00000000" w:rsidRPr="00000000" w14:paraId="00000082">
            <w:pPr>
              <w:widowControl w:val="0"/>
              <w:spacing w:line="276" w:lineRule="auto"/>
              <w:rPr/>
            </w:pPr>
            <w:r w:rsidDel="00000000" w:rsidR="00000000" w:rsidRPr="00000000">
              <w:rPr>
                <w:rtl w:val="0"/>
              </w:rPr>
              <w:t xml:space="preserve">- gender diversity in the recruitment process (such as outreach to potential diverse candidates and equitable, non-biased interview practices)</w:t>
            </w:r>
          </w:p>
          <w:p w:rsidR="00000000" w:rsidDel="00000000" w:rsidP="00000000" w:rsidRDefault="00000000" w:rsidRPr="00000000" w14:paraId="00000083">
            <w:pPr>
              <w:widowControl w:val="0"/>
              <w:spacing w:line="276" w:lineRule="auto"/>
              <w:rPr/>
            </w:pPr>
            <w:r w:rsidDel="00000000" w:rsidR="00000000" w:rsidRPr="00000000">
              <w:rPr>
                <w:rtl w:val="0"/>
              </w:rPr>
              <w:t xml:space="preserve">- ensuring equal pay between men and women for the same roles by providing pay gap analysis or pay stubs</w:t>
            </w:r>
          </w:p>
          <w:p w:rsidR="00000000" w:rsidDel="00000000" w:rsidP="00000000" w:rsidRDefault="00000000" w:rsidRPr="00000000" w14:paraId="00000084">
            <w:pPr>
              <w:widowControl w:val="0"/>
              <w:spacing w:line="276" w:lineRule="auto"/>
              <w:rPr/>
            </w:pPr>
            <w:r w:rsidDel="00000000" w:rsidR="00000000" w:rsidRPr="00000000">
              <w:rPr>
                <w:rtl w:val="0"/>
              </w:rPr>
              <w:t xml:space="preserve">- opportunities for females to be empowered and promoted internally (e.g. mentorship, leadership/ management skills training for both junior and senior employees),</w:t>
            </w:r>
          </w:p>
          <w:p w:rsidR="00000000" w:rsidDel="00000000" w:rsidP="00000000" w:rsidRDefault="00000000" w:rsidRPr="00000000" w14:paraId="00000085">
            <w:pPr>
              <w:widowControl w:val="0"/>
              <w:spacing w:line="276" w:lineRule="auto"/>
              <w:rPr/>
            </w:pPr>
            <w:r w:rsidDel="00000000" w:rsidR="00000000" w:rsidRPr="00000000">
              <w:rPr>
                <w:rtl w:val="0"/>
              </w:rPr>
              <w:t xml:space="preserve">- prevention of sexual exploitation and abuse or any form of discrimination at work (e.g. zero-tolerance policy in place),</w:t>
            </w:r>
          </w:p>
          <w:p w:rsidR="00000000" w:rsidDel="00000000" w:rsidP="00000000" w:rsidRDefault="00000000" w:rsidRPr="00000000" w14:paraId="00000086">
            <w:pPr>
              <w:widowControl w:val="0"/>
              <w:spacing w:line="276" w:lineRule="auto"/>
              <w:rPr/>
            </w:pPr>
            <w:r w:rsidDel="00000000" w:rsidR="00000000" w:rsidRPr="00000000">
              <w:rPr>
                <w:rtl w:val="0"/>
              </w:rPr>
              <w:t xml:space="preserve">- paid parental leave policies for men and women,</w:t>
            </w:r>
          </w:p>
          <w:p w:rsidR="00000000" w:rsidDel="00000000" w:rsidP="00000000" w:rsidRDefault="00000000" w:rsidRPr="00000000" w14:paraId="00000087">
            <w:pPr>
              <w:widowControl w:val="0"/>
              <w:spacing w:line="276" w:lineRule="auto"/>
              <w:rPr/>
            </w:pPr>
            <w:r w:rsidDel="00000000" w:rsidR="00000000" w:rsidRPr="00000000">
              <w:rPr>
                <w:rtl w:val="0"/>
              </w:rPr>
              <w:t xml:space="preserve">- provide professional safety training and access to equal protection facilities for all staffs without discrimination</w:t>
            </w:r>
          </w:p>
          <w:p w:rsidR="00000000" w:rsidDel="00000000" w:rsidP="00000000" w:rsidRDefault="00000000" w:rsidRPr="00000000" w14:paraId="00000088">
            <w:pPr>
              <w:widowControl w:val="0"/>
              <w:spacing w:line="276" w:lineRule="auto"/>
              <w:rPr/>
            </w:pPr>
            <w:r w:rsidDel="00000000" w:rsidR="00000000" w:rsidRPr="00000000">
              <w:rPr>
                <w:rtl w:val="0"/>
              </w:rPr>
              <w:t xml:space="preserve">- Undertaken and awarded an independent gender audit certificate or equivalent (e.g. Edge Certificate, WEPs GAP analysis).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89">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8A">
            <w:pPr>
              <w:jc w:val="center"/>
              <w:rPr/>
            </w:pPr>
            <w:r w:rsidDel="00000000" w:rsidR="00000000" w:rsidRPr="00000000">
              <w:rPr>
                <w:highlight w:val="cyan"/>
                <w:rtl w:val="0"/>
              </w:rPr>
              <w:t xml:space="preserve">Insert details</w:t>
            </w:r>
            <w:r w:rsidDel="00000000" w:rsidR="00000000" w:rsidRPr="00000000">
              <w:rPr>
                <w:rtl w:val="0"/>
              </w:rPr>
            </w:r>
          </w:p>
        </w:tc>
      </w:tr>
    </w:tbl>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pos="-720"/>
          <w:tab w:val="left" w:pos="0"/>
          <w:tab w:val="left" w:pos="720"/>
          <w:tab w:val="right" w:pos="8640"/>
        </w:tabs>
        <w:ind w:left="142" w:firstLine="0"/>
        <w:rPr>
          <w:b w:val="1"/>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left" w:pos="-720"/>
          <w:tab w:val="left" w:pos="0"/>
          <w:tab w:val="left" w:pos="720"/>
          <w:tab w:val="right" w:pos="8640"/>
        </w:tabs>
        <w:ind w:left="142" w:firstLine="0"/>
        <w:rPr>
          <w:b w:val="1"/>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pos="-720"/>
          <w:tab w:val="left" w:pos="0"/>
          <w:tab w:val="left" w:pos="720"/>
          <w:tab w:val="right" w:pos="8640"/>
        </w:tabs>
        <w:ind w:left="142" w:firstLine="0"/>
        <w:rPr>
          <w:b w:val="1"/>
          <w:color w:val="000000"/>
          <w:sz w:val="22"/>
          <w:szCs w:val="22"/>
        </w:rPr>
      </w:pPr>
      <w:r w:rsidDel="00000000" w:rsidR="00000000" w:rsidRPr="00000000">
        <w:rPr>
          <w:b w:val="1"/>
          <w:color w:val="000000"/>
          <w:sz w:val="22"/>
          <w:szCs w:val="22"/>
          <w:rtl w:val="0"/>
        </w:rPr>
        <w:t xml:space="preserve">E.  Inspections and tests</w:t>
      </w:r>
    </w:p>
    <w:p w:rsidR="00000000" w:rsidDel="00000000" w:rsidP="00000000" w:rsidRDefault="00000000" w:rsidRPr="00000000" w14:paraId="0000008E">
      <w:pPr>
        <w:rPr>
          <w:i w:val="1"/>
          <w:color w:val="000000"/>
          <w:highlight w:val="lightGray"/>
        </w:rPr>
      </w:pPr>
      <w:r w:rsidDel="00000000" w:rsidR="00000000" w:rsidRPr="00000000">
        <w:rPr>
          <w:rtl w:val="0"/>
        </w:rPr>
      </w:r>
    </w:p>
    <w:p w:rsidR="00000000" w:rsidDel="00000000" w:rsidP="00000000" w:rsidRDefault="00000000" w:rsidRPr="00000000" w14:paraId="0000008F">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090">
      <w:pPr>
        <w:ind w:left="142" w:firstLine="0"/>
        <w:jc w:val="both"/>
        <w:rPr/>
      </w:pPr>
      <w:r w:rsidDel="00000000" w:rsidR="00000000" w:rsidRPr="00000000">
        <w:rPr>
          <w:rtl w:val="0"/>
        </w:rPr>
      </w:r>
    </w:p>
    <w:p w:rsidR="00000000" w:rsidDel="00000000" w:rsidP="00000000" w:rsidRDefault="00000000" w:rsidRPr="00000000" w14:paraId="00000091">
      <w:pPr>
        <w:ind w:left="142" w:firstLine="0"/>
        <w:jc w:val="both"/>
        <w:rPr/>
      </w:pPr>
      <w:r w:rsidDel="00000000" w:rsidR="00000000" w:rsidRPr="00000000">
        <w:rPr>
          <w:rtl w:val="0"/>
        </w:rPr>
        <w:t xml:space="preserve">(i) The Supplier shall perform all needed tests before the shipment to conform that the goods meet the Purchaser requirements. Documented confirmation of such tests has to be sent to the Purchaser before the shipment;</w:t>
      </w:r>
    </w:p>
    <w:p w:rsidR="00000000" w:rsidDel="00000000" w:rsidP="00000000" w:rsidRDefault="00000000" w:rsidRPr="00000000" w14:paraId="00000092">
      <w:pPr>
        <w:ind w:left="142" w:firstLine="0"/>
        <w:jc w:val="both"/>
        <w:rPr/>
      </w:pPr>
      <w:r w:rsidDel="00000000" w:rsidR="00000000" w:rsidRPr="00000000">
        <w:rPr>
          <w:rtl w:val="0"/>
        </w:rPr>
        <w:t xml:space="preserve">(ii) The Purchaser may undertake to perform a random check of goods for compliance with specifications, warranty term, etc., before the shipment.</w:t>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095">
      <w:pPr>
        <w:ind w:left="142" w:firstLine="0"/>
        <w:jc w:val="both"/>
        <w:rPr/>
      </w:pPr>
      <w:r w:rsidDel="00000000" w:rsidR="00000000" w:rsidRPr="00000000">
        <w:rPr>
          <w:rtl w:val="0"/>
        </w:rPr>
      </w:r>
    </w:p>
    <w:p w:rsidR="00000000" w:rsidDel="00000000" w:rsidP="00000000" w:rsidRDefault="00000000" w:rsidRPr="00000000" w14:paraId="00000096">
      <w:pPr>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097">
      <w:pPr>
        <w:ind w:left="142" w:firstLine="0"/>
        <w:jc w:val="both"/>
        <w:rPr>
          <w:highlight w:val="lightGray"/>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left" w:pos="-720"/>
          <w:tab w:val="left" w:pos="0"/>
          <w:tab w:val="left" w:pos="720"/>
          <w:tab w:val="right" w:pos="8640"/>
        </w:tabs>
        <w:ind w:left="1440" w:firstLine="0"/>
        <w:rPr>
          <w:b w:val="1"/>
          <w:color w:val="000000"/>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line="276" w:lineRule="auto"/>
      <w:rPr>
        <w:b w:val="1"/>
        <w:color w:val="000000"/>
      </w:rPr>
    </w:pPr>
    <w:r w:rsidDel="00000000" w:rsidR="00000000" w:rsidRPr="00000000">
      <w:rPr>
        <w:rtl w:val="0"/>
      </w:rPr>
    </w:r>
  </w:p>
  <w:tbl>
    <w:tblPr>
      <w:tblStyle w:val="Table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sz w:val="18"/>
              <w:szCs w:val="18"/>
            </w:rPr>
          </w:pPr>
          <w:r w:rsidDel="00000000" w:rsidR="00000000" w:rsidRPr="00000000">
            <w:rPr>
              <w:rFonts w:ascii="Arial" w:cs="Arial" w:eastAsia="Arial" w:hAnsi="Arial"/>
              <w:color w:val="000000"/>
              <w:sz w:val="18"/>
              <w:szCs w:val="18"/>
              <w:rtl w:val="0"/>
            </w:rPr>
            <w:t xml:space="preserve">UNOPS E-Sourcing </w:t>
          </w:r>
          <w:r w:rsidDel="00000000" w:rsidR="00000000" w:rsidRPr="00000000">
            <w:rPr>
              <w:rFonts w:ascii="Arial" w:cs="Arial" w:eastAsia="Arial" w:hAnsi="Arial"/>
              <w:sz w:val="18"/>
              <w:szCs w:val="18"/>
              <w:rtl w:val="0"/>
            </w:rPr>
            <w:t xml:space="preserve">RFQ/2021/19995</w:t>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8"/>
              <w:szCs w:val="18"/>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18"/>
              <w:szCs w:val="18"/>
              <w:rtl w:val="0"/>
            </w:rPr>
            <w:t xml:space="preserve"> </w:t>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E51BCE"/>
  </w:style>
  <w:style w:type="paragraph" w:styleId="Heading1">
    <w:name w:val="heading 1"/>
    <w:basedOn w:val="Normal"/>
    <w:next w:val="Normal"/>
    <w:link w:val="Heading1Char"/>
    <w:uiPriority w:val="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semiHidden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semiHidden w:val="1"/>
    <w:unhideWhenUsed w:val="1"/>
    <w:qFormat w:val="1"/>
    <w:rsid w:val="00226E7E"/>
    <w:pPr>
      <w:spacing w:after="280"/>
      <w:outlineLvl w:val="2"/>
    </w:pPr>
    <w:rPr>
      <w:b w:val="1"/>
      <w:bCs w:val="1"/>
      <w:sz w:val="22"/>
      <w:szCs w:val="22"/>
    </w:rPr>
  </w:style>
  <w:style w:type="paragraph" w:styleId="Heading4">
    <w:name w:val="heading 4"/>
    <w:basedOn w:val="Normal"/>
    <w:next w:val="Normal"/>
    <w:link w:val="Heading4Char"/>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semiHidden w:val="1"/>
    <w:unhideWhenUsed w:val="1"/>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numbering" w:styleId="NoList1" w:customStyle="1">
    <w:name w:val="No List1"/>
    <w:next w:val="NoList"/>
    <w:uiPriority w:val="99"/>
    <w:semiHidden w:val="1"/>
    <w:unhideWhenUsed w:val="1"/>
    <w:rsid w:val="00262E49"/>
  </w:style>
  <w:style w:type="table" w:styleId="TableGrid1" w:customStyle="1">
    <w:name w:val="Table Grid1"/>
    <w:basedOn w:val="TableNormal"/>
    <w:next w:val="TableGrid"/>
    <w:uiPriority w:val="59"/>
    <w:unhideWhenUsed w:val="1"/>
    <w:rsid w:val="00262E49"/>
    <w:rPr>
      <w:rFonts w:ascii="Times New Roman" w:cs="Times New Roman" w:eastAsia="PMingLiU" w:hAnsi="Times New Roman"/>
      <w:sz w:val="22"/>
      <w:szCs w:val="22"/>
      <w:lang w:bidi="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Normal1" w:customStyle="1">
    <w:name w:val="Table Normal1"/>
    <w:uiPriority w:val="2"/>
    <w:semiHidden w:val="1"/>
    <w:unhideWhenUsed w:val="1"/>
    <w:qFormat w:val="1"/>
    <w:rsid w:val="00262E49"/>
    <w:pPr>
      <w:widowControl w:val="0"/>
    </w:pPr>
    <w:rPr>
      <w:rFonts w:ascii="Calibri" w:cs="Times New Roman" w:eastAsia="Calibri" w:hAnsi="Calibri"/>
      <w:sz w:val="22"/>
      <w:szCs w:val="22"/>
      <w:lang w:bidi="en-GB"/>
    </w:rPr>
    <w:tblPr>
      <w:tblInd w:w="0.0" w:type="dxa"/>
      <w:tblCellMar>
        <w:top w:w="0.0" w:type="dxa"/>
        <w:left w:w="0.0" w:type="dxa"/>
        <w:bottom w:w="0.0" w:type="dxa"/>
        <w:right w:w="0.0" w:type="dxa"/>
      </w:tblCellMar>
    </w:tblPr>
  </w:style>
  <w:style w:type="table" w:styleId="TableGrid0" w:customStyle="1">
    <w:name w:val="TableGrid"/>
    <w:rsid w:val="00262E49"/>
    <w:rPr>
      <w:rFonts w:ascii="Calibri" w:cs="Times New Roman" w:hAnsi="Calibri"/>
      <w:sz w:val="22"/>
      <w:szCs w:val="22"/>
    </w:rPr>
    <w:tblPr>
      <w:tblCellMar>
        <w:top w:w="0.0" w:type="dxa"/>
        <w:left w:w="0.0" w:type="dxa"/>
        <w:bottom w:w="0.0" w:type="dxa"/>
        <w:right w:w="0.0" w:type="dxa"/>
      </w:tblCellMar>
    </w:tblPr>
  </w:style>
  <w:style w:type="paragraph" w:styleId="msonormal0" w:customStyle="1">
    <w:name w:val="msonormal"/>
    <w:basedOn w:val="Normal"/>
    <w:rsid w:val="00AB608A"/>
    <w:pPr>
      <w:spacing w:after="100" w:afterAutospacing="1" w:before="100" w:beforeAutospacing="1"/>
    </w:pPr>
    <w:rPr>
      <w:rFonts w:ascii="Times New Roman" w:cs="Times New Roman" w:hAnsi="Times New Roman"/>
      <w:sz w:val="24"/>
      <w:szCs w:val="24"/>
    </w:rPr>
  </w:style>
  <w:style w:type="paragraph" w:styleId="xl66" w:customStyle="1">
    <w:name w:val="xl66"/>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67" w:customStyle="1">
    <w:name w:val="xl67"/>
    <w:basedOn w:val="Normal"/>
    <w:rsid w:val="00AB608A"/>
    <w:pPr>
      <w:pBdr>
        <w:top w:color="auto" w:space="0" w:sz="4" w:val="single"/>
        <w:left w:color="auto" w:space="0" w:sz="4" w:val="single"/>
        <w:bottom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rsid w:val="00AB608A"/>
    <w:pPr>
      <w:pBdr>
        <w:top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0" w:customStyle="1">
    <w:name w:val="xl70"/>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1" w:customStyle="1">
    <w:name w:val="xl71"/>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3" w:customStyle="1">
    <w:name w:val="xl7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4" w:customStyle="1">
    <w:name w:val="xl7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5" w:customStyle="1">
    <w:name w:val="xl7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6" w:customStyle="1">
    <w:name w:val="xl76"/>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7" w:customStyle="1">
    <w:name w:val="xl77"/>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8" w:customStyle="1">
    <w:name w:val="xl7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79" w:customStyle="1">
    <w:name w:val="xl79"/>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0" w:customStyle="1">
    <w:name w:val="xl80"/>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1" w:customStyle="1">
    <w:name w:val="xl81"/>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2" w:customStyle="1">
    <w:name w:val="xl82"/>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3" w:customStyle="1">
    <w:name w:val="xl8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4" w:customStyle="1">
    <w:name w:val="xl8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5" w:customStyle="1">
    <w:name w:val="xl8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6" w:customStyle="1">
    <w:name w:val="xl86"/>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7" w:customStyle="1">
    <w:name w:val="xl87"/>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8" w:customStyle="1">
    <w:name w:val="xl8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9" w:customStyle="1">
    <w:name w:val="xl89"/>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0" w:customStyle="1">
    <w:name w:val="xl90"/>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1" w:customStyle="1">
    <w:name w:val="xl91"/>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2" w:customStyle="1">
    <w:name w:val="xl92"/>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3" w:customStyle="1">
    <w:name w:val="xl93"/>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4" w:customStyle="1">
    <w:name w:val="xl94"/>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5" w:customStyle="1">
    <w:name w:val="xl95"/>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6" w:customStyle="1">
    <w:name w:val="xl96"/>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7" w:customStyle="1">
    <w:name w:val="xl97"/>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8" w:customStyle="1">
    <w:name w:val="xl98"/>
    <w:basedOn w:val="Normal"/>
    <w:rsid w:val="00316BCC"/>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9" w:customStyle="1">
    <w:name w:val="xl99"/>
    <w:basedOn w:val="Normal"/>
    <w:rsid w:val="00316BCC"/>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font5" w:customStyle="1">
    <w:name w:val="font5"/>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6" w:customStyle="1">
    <w:name w:val="font6"/>
    <w:basedOn w:val="Normal"/>
    <w:rsid w:val="00E51BCE"/>
    <w:pPr>
      <w:spacing w:after="100" w:afterAutospacing="1" w:before="100" w:beforeAutospacing="1"/>
    </w:pPr>
    <w:rPr>
      <w:rFonts w:ascii="Times New Roman" w:cs="Times New Roman" w:hAnsi="Times New Roman"/>
      <w:b w:val="1"/>
      <w:bCs w:val="1"/>
      <w:color w:val="000000"/>
      <w:sz w:val="24"/>
      <w:szCs w:val="24"/>
    </w:rPr>
  </w:style>
  <w:style w:type="paragraph" w:styleId="font7" w:customStyle="1">
    <w:name w:val="font7"/>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8" w:customStyle="1">
    <w:name w:val="font8"/>
    <w:basedOn w:val="Normal"/>
    <w:rsid w:val="00E51BCE"/>
    <w:pPr>
      <w:spacing w:after="100" w:afterAutospacing="1" w:before="100" w:beforeAutospacing="1"/>
    </w:pPr>
    <w:rPr>
      <w:rFonts w:ascii="Times New Roman" w:cs="Times New Roman" w:hAnsi="Times New Roman"/>
      <w:color w:val="000000"/>
      <w:sz w:val="14"/>
      <w:szCs w:val="14"/>
    </w:rPr>
  </w:style>
  <w:style w:type="paragraph" w:styleId="xl65" w:customStyle="1">
    <w:name w:val="xl65"/>
    <w:basedOn w:val="Normal"/>
    <w:rsid w:val="00E51BCE"/>
    <w:pPr>
      <w:spacing w:after="100" w:afterAutospacing="1" w:before="100" w:beforeAutospacing="1"/>
      <w:textAlignment w:val="center"/>
    </w:pPr>
    <w:rPr>
      <w:rFonts w:ascii="Times New Roman" w:cs="Times New Roman" w:hAnsi="Times New Roman"/>
      <w:sz w:val="24"/>
      <w:szCs w:val="24"/>
    </w:rPr>
  </w:style>
  <w:style w:type="paragraph" w:styleId="i" w:customStyle="1">
    <w:name w:val="(i)"/>
    <w:basedOn w:val="Normal"/>
    <w:uiPriority w:val="99"/>
    <w:qFormat w:val="1"/>
    <w:rsid w:val="00FC6745"/>
    <w:pPr>
      <w:suppressAutoHyphens w:val="1"/>
      <w:jc w:val="both"/>
    </w:pPr>
    <w:rPr>
      <w:rFonts w:ascii="Tms Rmn" w:cs="Times New Roman" w:hAnsi="Tms Rmn"/>
      <w:sz w:val="24"/>
      <w:lang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rPr>
      <w:rFonts w:ascii="Times New Roman" w:cs="Times New Roman" w:eastAsia="Times New Roman" w:hAnsi="Times New Roman"/>
      <w:sz w:val="22"/>
      <w:szCs w:val="22"/>
    </w:rPr>
    <w:tblPr>
      <w:tblStyleRowBandSize w:val="1"/>
      <w:tblStyleColBandSize w:val="1"/>
    </w:tblPr>
  </w:style>
  <w:style w:type="table" w:styleId="a3" w:customStyle="1">
    <w:basedOn w:val="TableNormal"/>
    <w:rPr>
      <w:rFonts w:ascii="Times New Roman" w:cs="Times New Roman" w:eastAsia="Times New Roman" w:hAnsi="Times New Roman"/>
      <w:sz w:val="22"/>
      <w:szCs w:val="22"/>
    </w:rPr>
    <w:tblPr>
      <w:tblStyleRowBandSize w:val="1"/>
      <w:tblStyleColBandSize w:val="1"/>
    </w:tblPr>
  </w:style>
  <w:style w:type="table" w:styleId="a5" w:customStyle="1">
    <w:basedOn w:val="TableNormal"/>
    <w:rPr>
      <w:rFonts w:ascii="Times New Roman" w:cs="Times New Roman" w:eastAsia="Times New Roman" w:hAnsi="Times New Roman"/>
      <w:sz w:val="22"/>
      <w:szCs w:val="22"/>
    </w:rPr>
    <w:tblPr>
      <w:tblStyleRowBandSize w:val="1"/>
      <w:tblStyleColBandSize w:val="1"/>
    </w:tblPr>
  </w:style>
  <w:style w:type="table" w:styleId="a6" w:customStyle="1">
    <w:basedOn w:val="TableNormal"/>
    <w:rPr>
      <w:rFonts w:ascii="Times New Roman" w:cs="Times New Roman" w:eastAsia="Times New Roman" w:hAnsi="Times New Roman"/>
      <w:sz w:val="22"/>
      <w:szCs w:val="22"/>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6CA50dkd1elRfJaRpXiRxv8eRQ==">AMUW2mWRxDOjjI+NIUlPanXTLwZEHfW98htdNWrizyuTPWM6vHqvySa12/dGEkGCkcxC4LIrXQO61Dse3yqXhL5Otruk/2NIhkmCQ5OR4AWIoh+1vXZQDN6ovuFPMyp9tPyfIUKtvc27YPTTEiRbDg27Ah7g3dbplw==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2018-07-30T17:18:00Z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0x010100C3415C0853002446BEDBD6FDA7B6CEA3</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y fmtid="{D5CDD505-2E9C-101B-9397-08002B2CF9AE}" pid="40" name="IsMyDocuments">
    <vt:bool>true</vt:bool>
  </property>
</Properties>
</file>