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II: Schedule of Requirements</w:t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284" w:right="0" w:hanging="28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Summary of Requirements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2160" w:right="0" w:hanging="72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72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requirements are comprised of the following: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1.  </w:t>
      </w:r>
      <w:r w:rsidDel="00000000" w:rsidR="00000000" w:rsidRPr="00000000">
        <w:rPr>
          <w:rtl w:val="0"/>
        </w:rPr>
        <w:t xml:space="preserve">Supply and delivery  of K9 Explosive Detection Dog (EDD) Train dogs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- Quantity: 5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284" w:right="0" w:hanging="28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Technical specifications for Goods and Comparative Data Table</w:t>
      </w:r>
    </w:p>
    <w:p w:rsidR="00000000" w:rsidDel="00000000" w:rsidP="00000000" w:rsidRDefault="00000000" w:rsidRPr="00000000" w14:paraId="0000000A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0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60"/>
        <w:gridCol w:w="4755"/>
        <w:gridCol w:w="1890"/>
        <w:gridCol w:w="2799"/>
        <w:tblGridChange w:id="0">
          <w:tblGrid>
            <w:gridCol w:w="660"/>
            <w:gridCol w:w="4755"/>
            <w:gridCol w:w="1890"/>
            <w:gridCol w:w="2799"/>
          </w:tblGrid>
        </w:tblGridChange>
      </w:tblGrid>
      <w:tr>
        <w:trPr>
          <w:trHeight w:val="499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No.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UNOPS minimum technical requirements 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Is bid compliant? </w:t>
            </w:r>
            <w:r w:rsidDel="00000000" w:rsidR="00000000" w:rsidRPr="00000000">
              <w:rPr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Details of goods offered. </w:t>
            </w:r>
            <w:r w:rsidDel="00000000" w:rsidR="00000000" w:rsidRPr="00000000">
              <w:rPr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0" w:hRule="atLeast"/>
        </w:trPr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10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Supply and delivery of  of K9 (Explosive Detection Dog)</w:t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Insert details</w:t>
            </w:r>
          </w:p>
        </w:tc>
      </w:tr>
      <w:tr>
        <w:trPr>
          <w:trHeight w:val="107" w:hRule="atLeast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The dogs must be between 1-3 age old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Insert details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The dog must be microchipped and/or  with passport 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i w:val="1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The dog must have vaccination/health record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Insert details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The dog must have training record 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Insert details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The dog must have been fully trained (socialization, ball training and explosive training)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Insert details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The dog must be Belgian Shepherd (Malino)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Insert details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Explosive Detection Dogs (EDD) should have the ability to be used in many different roles within risk mitigating operations. They are to be a complement to existing security frameworks.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Insert details</w:t>
            </w:r>
          </w:p>
        </w:tc>
      </w:tr>
      <w:tr>
        <w:trPr>
          <w:trHeight w:val="259.14062499999994" w:hRule="atLeast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Dogs shall be well suited for activities such as Entry Control Points (ECP) search, luggage\cargo verifications, facility security screening, IED incident response and support to military operations etc.</w:t>
            </w:r>
            <w:r w:rsidDel="00000000" w:rsidR="00000000" w:rsidRPr="00000000">
              <w:rPr>
                <w:rFonts w:ascii="Arial" w:cs="Arial" w:eastAsia="Arial" w:hAnsi="Arial"/>
                <w:color w:val="222222"/>
                <w:sz w:val="22"/>
                <w:szCs w:val="22"/>
                <w:highlight w:val="whit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MS Gothic" w:cs="MS Gothic" w:eastAsia="MS Gothic" w:hAnsi="MS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5" w:hRule="atLeast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Training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Insert details</w:t>
            </w:r>
          </w:p>
        </w:tc>
      </w:tr>
      <w:tr>
        <w:trPr>
          <w:trHeight w:val="274.99999999999994" w:hRule="atLeast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Training:  The supplier (or its authorized representative in Afghanistan) is to conduct a 4 weeks training for coupling of the dogs with their new dog handlers upon provision of K9.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Insert details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  <w:t xml:space="preserve">xpected </w:t>
            </w:r>
            <w:r w:rsidDel="00000000" w:rsidR="00000000" w:rsidRPr="00000000">
              <w:rPr>
                <w:rtl w:val="0"/>
              </w:rPr>
              <w:t xml:space="preserve">EDD dog operation lifecycle 8 years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Insert details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Offered dogs must have been trained in English language)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Insert details</w:t>
            </w:r>
          </w:p>
        </w:tc>
      </w:tr>
    </w:tbl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284" w:right="0" w:hanging="28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Delivery requirements and Comparative Data Table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284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87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32"/>
        <w:gridCol w:w="3000"/>
        <w:gridCol w:w="1920"/>
        <w:gridCol w:w="2835"/>
        <w:tblGridChange w:id="0">
          <w:tblGrid>
            <w:gridCol w:w="2032"/>
            <w:gridCol w:w="3000"/>
            <w:gridCol w:w="1920"/>
            <w:gridCol w:w="2835"/>
          </w:tblGrid>
        </w:tblGridChange>
      </w:tblGrid>
      <w:tr>
        <w:trPr>
          <w:trHeight w:val="306" w:hRule="atLeast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bid compliant?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shall deliver the dogs within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12 weeks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after Purchase Order 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Insert details </w:t>
            </w:r>
          </w:p>
        </w:tc>
      </w:tr>
      <w:tr>
        <w:trPr>
          <w:trHeight w:val="306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place and Incoterms rules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National Engineering Brigade Canine Care Unit Kabul, Afghanistan-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DAP, Incoterms 2010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Insert details </w:t>
            </w:r>
          </w:p>
        </w:tc>
      </w:tr>
      <w:tr>
        <w:trPr>
          <w:trHeight w:val="306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Consignee details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Major Mohammad Omid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Insert details </w:t>
            </w:r>
          </w:p>
        </w:tc>
      </w:tr>
      <w:tr>
        <w:trPr>
          <w:trHeight w:val="2115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Right to vary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 the time the Contract is awarded, UNOPS reserves the right to vary the quantity of the goods and associated services specified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above, provided this does not exceed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+/- 60% , wi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thout any change in the unit prices or other terms and conditions of the ITB.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  <w:highlight w:val="cyan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highlight w:val="cyan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Yes   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highlight w:val="cyan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</w:p>
        </w:tc>
      </w:tr>
      <w:tr>
        <w:trPr>
          <w:trHeight w:val="1065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Inspection of Dogs: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UNOPS will verify the offered dogs by checking during the training.  If the dogs do not meet the UNOPS requirements they  will not be  accepted.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Arial" w:cs="Arial" w:eastAsia="Arial" w:hAnsi="Arial"/>
                <w:highlight w:val="cyan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highlight w:val="cyan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Yes   </w:t>
            </w: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highlight w:val="cyan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</w:p>
        </w:tc>
      </w:tr>
      <w:tr>
        <w:trPr>
          <w:trHeight w:val="24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Performance Security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Performance security shall be required from the awarded Bidder in the amount of 5 % of the total Contract amount, in the form of a Bank Guarantee as set out in the document titled Section IV: Contract Forms which is available in the Documents section. To minimize Credit Risk, UNOPS will only accept Bank Guarantees from Banks or other Financial Institutions with a minimum Long Term Credit Rating of BBB- with Standard and Poor’s, a minimum Long Term Credit Rating of Baa3 with Moody Investor Services, or a minimum Long Term Credit Rating of BBB- with Fitch Ratings. Any Bank Guarantee issued by a financial institution with a credit rating below the outlined credit ratings will require prior validation from UNOPS.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" w:cs="Arial" w:eastAsia="Arial" w:hAnsi="Arial"/>
                <w:highlight w:val="cyan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highlight w:val="cyan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Yes   </w:t>
            </w: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highlight w:val="cyan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 No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284" w:right="0" w:hanging="284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Related services requirements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99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960"/>
        <w:gridCol w:w="2775"/>
        <w:gridCol w:w="1575"/>
        <w:gridCol w:w="1665"/>
        <w:gridCol w:w="1800"/>
        <w:gridCol w:w="1124"/>
        <w:tblGridChange w:id="0">
          <w:tblGrid>
            <w:gridCol w:w="960"/>
            <w:gridCol w:w="2775"/>
            <w:gridCol w:w="1575"/>
            <w:gridCol w:w="1665"/>
            <w:gridCol w:w="1800"/>
            <w:gridCol w:w="1124"/>
          </w:tblGrid>
        </w:tblGridChange>
      </w:tblGrid>
      <w:tr>
        <w:trPr>
          <w:trHeight w:val="748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7">
            <w:pPr>
              <w:ind w:left="142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UNOPS minimum requirements for services </w:t>
            </w:r>
          </w:p>
          <w:p w:rsidR="00000000" w:rsidDel="00000000" w:rsidP="00000000" w:rsidRDefault="00000000" w:rsidRPr="00000000" w14:paraId="00000068">
            <w:pPr>
              <w:ind w:left="142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9">
            <w:pPr>
              <w:ind w:left="142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Place where services will be performed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A">
            <w:pPr>
              <w:ind w:left="142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Final completion date(s) of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Is bid compliant? </w:t>
            </w:r>
            <w:r w:rsidDel="00000000" w:rsidR="00000000" w:rsidRPr="00000000">
              <w:rPr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06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8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Hands-on training for approximately  5 (Five) dog handlers on how to use the dog properly. The expected  training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duration is 4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weeks. The training must be in English language.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Kabul, Afghanistan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ind w:lef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Expected  4 weeks training  after delivery of EDD dogs</w:t>
            </w:r>
          </w:p>
          <w:p w:rsidR="00000000" w:rsidDel="00000000" w:rsidP="00000000" w:rsidRDefault="00000000" w:rsidRPr="00000000" w14:paraId="00000078">
            <w:pPr>
              <w:ind w:left="14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ind w:left="142" w:firstLine="0"/>
              <w:jc w:val="center"/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ind w:left="142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Insert details </w:t>
            </w:r>
          </w:p>
        </w:tc>
      </w:tr>
    </w:tbl>
    <w:p w:rsidR="00000000" w:rsidDel="00000000" w:rsidP="00000000" w:rsidRDefault="00000000" w:rsidRPr="00000000" w14:paraId="0000007B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b w:val="1"/>
          <w:color w:val="000000"/>
          <w:rtl w:val="0"/>
        </w:rPr>
        <w:t xml:space="preserve">NOTE:</w:t>
      </w:r>
      <w:r w:rsidDel="00000000" w:rsidR="00000000" w:rsidRPr="00000000">
        <w:rPr>
          <w:color w:val="000000"/>
          <w:rtl w:val="0"/>
        </w:rPr>
        <w:t xml:space="preserve"> Hands-on t</w:t>
      </w:r>
      <w:r w:rsidDel="00000000" w:rsidR="00000000" w:rsidRPr="00000000">
        <w:rPr>
          <w:rtl w:val="0"/>
        </w:rPr>
        <w:t xml:space="preserve">raining will be provided as part of the total contract and all related costs should be part of the bid.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b w:val="1"/>
          <w:rtl w:val="0"/>
        </w:rPr>
        <w:t xml:space="preserve">C. Sustainability Criteria:</w:t>
      </w:r>
      <w:r w:rsidDel="00000000" w:rsidR="00000000" w:rsidRPr="00000000">
        <w:rPr>
          <w:rtl w:val="0"/>
        </w:rPr>
      </w:r>
    </w:p>
    <w:tbl>
      <w:tblPr>
        <w:tblStyle w:val="Table4"/>
        <w:tblW w:w="9952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42"/>
        <w:gridCol w:w="3935"/>
        <w:gridCol w:w="1839"/>
        <w:gridCol w:w="1336"/>
        <w:tblGridChange w:id="0">
          <w:tblGrid>
            <w:gridCol w:w="2842"/>
            <w:gridCol w:w="3935"/>
            <w:gridCol w:w="1839"/>
            <w:gridCol w:w="1336"/>
          </w:tblGrid>
        </w:tblGridChange>
      </w:tblGrid>
      <w:tr>
        <w:trPr>
          <w:trHeight w:val="306" w:hRule="atLeast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bid compliant?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6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7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Sustainability Requirements - Suppliers commitment to gender equality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The bidder shall provide a response that demonstrates its commitment to support gender equality and women’s empowerment through its operations. The bidder must provide a clear statement and supporting documentation that outlines how gender is mainstreamed internally. This should include for example the organization's current or future plans/activities with regards to: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- gender diversity in the recruitment process (such as outreach to potential diverse candidates and equitable, non-biased interview practices)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- ensuring equal pay between men and women for the same roles by providing pay gap analysis or pay stubs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- opportunities for females to be empowered and promoted internally (e.g. mentorship, leadership/ management skills training for both junior and senior employees),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- prevention of sexual exploitation and abuse or any form of discrimination at work (e.g. zero-tolerance policy in place),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- paid parental leave policies for men and women,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- provide professional safety training and access to equal protection facilities for all staff without discrimination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Yes   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Insert details</w:t>
            </w:r>
          </w:p>
        </w:tc>
      </w:tr>
    </w:tbl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20"/>
          <w:tab w:val="left" w:pos="0"/>
          <w:tab w:val="left" w:pos="720"/>
          <w:tab w:val="right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MS Gothic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6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</wp:posOffset>
          </wp:positionH>
          <wp:positionV relativeFrom="paragraph">
            <wp:posOffset>61913</wp:posOffset>
          </wp:positionV>
          <wp:extent cx="1476375" cy="334631"/>
          <wp:effectExtent b="0" l="0" r="0" t="0"/>
          <wp:wrapNone/>
          <wp:docPr id="20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6375" cy="334631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5"/>
      <w:tblW w:w="19778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c>
        <w:tcPr/>
        <w:p w:rsidR="00000000" w:rsidDel="00000000" w:rsidP="00000000" w:rsidRDefault="00000000" w:rsidRPr="00000000" w14:paraId="0000009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v2017.1</w:t>
          </w:r>
        </w:p>
      </w:tc>
      <w:tc>
        <w:tcPr/>
        <w:p w:rsidR="00000000" w:rsidDel="00000000" w:rsidP="00000000" w:rsidRDefault="00000000" w:rsidRPr="00000000" w14:paraId="0000009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ITB Ref No: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502" w:hanging="360"/>
      </w:pPr>
      <w:rPr/>
    </w:lvl>
    <w:lvl w:ilvl="1">
      <w:start w:val="1"/>
      <w:numFmt w:val="lowerLetter"/>
      <w:lvlText w:val="%2."/>
      <w:lvlJc w:val="left"/>
      <w:pPr>
        <w:ind w:left="1222" w:hanging="360"/>
      </w:pPr>
      <w:rPr/>
    </w:lvl>
    <w:lvl w:ilvl="2">
      <w:start w:val="1"/>
      <w:numFmt w:val="lowerRoman"/>
      <w:lvlText w:val="%3."/>
      <w:lvlJc w:val="right"/>
      <w:pPr>
        <w:ind w:left="1942" w:hanging="180"/>
      </w:pPr>
      <w:rPr/>
    </w:lvl>
    <w:lvl w:ilvl="3">
      <w:start w:val="1"/>
      <w:numFmt w:val="decimal"/>
      <w:lvlText w:val="%4."/>
      <w:lvlJc w:val="left"/>
      <w:pPr>
        <w:ind w:left="2662" w:hanging="360"/>
      </w:pPr>
      <w:rPr/>
    </w:lvl>
    <w:lvl w:ilvl="4">
      <w:start w:val="1"/>
      <w:numFmt w:val="lowerLetter"/>
      <w:lvlText w:val="%5."/>
      <w:lvlJc w:val="left"/>
      <w:pPr>
        <w:ind w:left="3382" w:hanging="360"/>
      </w:pPr>
      <w:rPr/>
    </w:lvl>
    <w:lvl w:ilvl="5">
      <w:start w:val="1"/>
      <w:numFmt w:val="lowerRoman"/>
      <w:lvlText w:val="%6."/>
      <w:lvlJc w:val="right"/>
      <w:pPr>
        <w:ind w:left="4102" w:hanging="180"/>
      </w:pPr>
      <w:rPr/>
    </w:lvl>
    <w:lvl w:ilvl="6">
      <w:start w:val="1"/>
      <w:numFmt w:val="decimal"/>
      <w:lvlText w:val="%7."/>
      <w:lvlJc w:val="left"/>
      <w:pPr>
        <w:ind w:left="4822" w:hanging="360"/>
      </w:pPr>
      <w:rPr/>
    </w:lvl>
    <w:lvl w:ilvl="7">
      <w:start w:val="1"/>
      <w:numFmt w:val="lowerLetter"/>
      <w:lvlText w:val="%8."/>
      <w:lvlJc w:val="left"/>
      <w:pPr>
        <w:ind w:left="5542" w:hanging="360"/>
      </w:pPr>
      <w:rPr/>
    </w:lvl>
    <w:lvl w:ilvl="8">
      <w:start w:val="1"/>
      <w:numFmt w:val="lowerRoman"/>
      <w:lvlText w:val="%9."/>
      <w:lvlJc w:val="right"/>
      <w:pPr>
        <w:ind w:left="6262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uiPriority w:val="22"/>
    <w:qFormat w:val="1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eastAsia="en-US"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+yMken1y/fDThzQV30FukHOxDA==">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