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 Schedule of Requirements </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RFQ/2021/23832</w:t>
      </w:r>
    </w:p>
    <w:p w:rsidR="00000000" w:rsidDel="00000000" w:rsidP="00000000" w:rsidRDefault="00000000" w:rsidRPr="00000000" w14:paraId="00000003">
      <w:pPr>
        <w:rPr>
          <w:b w:val="1"/>
          <w:color w:val="000000"/>
          <w:highlight w:val="green"/>
        </w:rPr>
      </w:pPr>
      <w:r w:rsidDel="00000000" w:rsidR="00000000" w:rsidRPr="00000000">
        <w:rPr>
          <w:rtl w:val="0"/>
        </w:rPr>
      </w:r>
    </w:p>
    <w:p w:rsidR="00000000" w:rsidDel="00000000" w:rsidP="00000000" w:rsidRDefault="00000000" w:rsidRPr="00000000" w14:paraId="00000004">
      <w:pPr>
        <w:rPr>
          <w:b w:val="1"/>
          <w:color w:val="000000"/>
        </w:rPr>
      </w:pPr>
      <w:r w:rsidDel="00000000" w:rsidR="00000000" w:rsidRPr="00000000">
        <w:rPr>
          <w:b w:val="1"/>
          <w:color w:val="000000"/>
          <w:rtl w:val="0"/>
        </w:rPr>
        <w:t xml:space="preserve">Technical specifications for Goods and Comparative Data Table:</w:t>
      </w:r>
    </w:p>
    <w:p w:rsidR="00000000" w:rsidDel="00000000" w:rsidP="00000000" w:rsidRDefault="00000000" w:rsidRPr="00000000" w14:paraId="00000005">
      <w:pPr>
        <w:rPr>
          <w:b w:val="1"/>
          <w:color w:val="000000"/>
        </w:rPr>
      </w:pPr>
      <w:r w:rsidDel="00000000" w:rsidR="00000000" w:rsidRPr="00000000">
        <w:rPr>
          <w:rtl w:val="0"/>
        </w:rPr>
      </w:r>
    </w:p>
    <w:tbl>
      <w:tblPr>
        <w:tblStyle w:val="Table1"/>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2801"/>
        <w:gridCol w:w="1168"/>
        <w:gridCol w:w="1985"/>
        <w:gridCol w:w="2976"/>
        <w:tblGridChange w:id="0">
          <w:tblGrid>
            <w:gridCol w:w="817"/>
            <w:gridCol w:w="2801"/>
            <w:gridCol w:w="1168"/>
            <w:gridCol w:w="1985"/>
            <w:gridCol w:w="2976"/>
          </w:tblGrid>
        </w:tblGridChange>
      </w:tblGrid>
      <w:tr>
        <w:trPr>
          <w:trHeight w:val="499" w:hRule="atLeast"/>
        </w:trPr>
        <w:tc>
          <w:tcPr>
            <w:shd w:fill="d9d9d9" w:val="clear"/>
            <w:vAlign w:val="center"/>
          </w:tcPr>
          <w:p w:rsidR="00000000" w:rsidDel="00000000" w:rsidP="00000000" w:rsidRDefault="00000000" w:rsidRPr="00000000" w14:paraId="00000006">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07">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008">
            <w:pPr>
              <w:jc w:val="center"/>
              <w:rPr>
                <w:b w:val="1"/>
              </w:rPr>
            </w:pPr>
            <w:r w:rsidDel="00000000" w:rsidR="00000000" w:rsidRPr="00000000">
              <w:rPr>
                <w:b w:val="1"/>
                <w:rtl w:val="0"/>
              </w:rPr>
              <w:t xml:space="preserve">Quantity</w:t>
            </w:r>
          </w:p>
        </w:tc>
        <w:tc>
          <w:tcPr>
            <w:shd w:fill="d9d9d9" w:val="clear"/>
            <w:vAlign w:val="center"/>
          </w:tcPr>
          <w:p w:rsidR="00000000" w:rsidDel="00000000" w:rsidP="00000000" w:rsidRDefault="00000000" w:rsidRPr="00000000" w14:paraId="00000009">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0A">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c>
          <w:tcPr>
            <w:vAlign w:val="center"/>
          </w:tcPr>
          <w:p w:rsidR="00000000" w:rsidDel="00000000" w:rsidP="00000000" w:rsidRDefault="00000000" w:rsidRPr="00000000" w14:paraId="0000000B">
            <w:pPr>
              <w:rPr/>
            </w:pPr>
            <w:r w:rsidDel="00000000" w:rsidR="00000000" w:rsidRPr="00000000">
              <w:rPr>
                <w:rtl w:val="0"/>
              </w:rPr>
              <w:t xml:space="preserve">1</w:t>
            </w:r>
          </w:p>
        </w:tc>
        <w:tc>
          <w:tcPr>
            <w:vAlign w:val="center"/>
          </w:tcPr>
          <w:p w:rsidR="00000000" w:rsidDel="00000000" w:rsidP="00000000" w:rsidRDefault="00000000" w:rsidRPr="00000000" w14:paraId="0000000C">
            <w:pPr>
              <w:rPr/>
            </w:pPr>
            <w:bookmarkStart w:colFirst="0" w:colLast="0" w:name="_heading=h.gjdgxs" w:id="0"/>
            <w:bookmarkEnd w:id="0"/>
            <w:r w:rsidDel="00000000" w:rsidR="00000000" w:rsidRPr="00000000">
              <w:rPr>
                <w:rtl w:val="0"/>
              </w:rPr>
              <w:t xml:space="preserve">Please refer to annex 2 Phone specification for the different models</w:t>
            </w:r>
          </w:p>
        </w:tc>
        <w:tc>
          <w:tcPr>
            <w:vAlign w:val="center"/>
          </w:tcPr>
          <w:p w:rsidR="00000000" w:rsidDel="00000000" w:rsidP="00000000" w:rsidRDefault="00000000" w:rsidRPr="00000000" w14:paraId="0000000D">
            <w:pPr>
              <w:jc w:val="center"/>
              <w:rPr/>
            </w:pPr>
            <w:r w:rsidDel="00000000" w:rsidR="00000000" w:rsidRPr="00000000">
              <w:rPr>
                <w:rtl w:val="0"/>
              </w:rPr>
              <w:t xml:space="preserve">No confirmed quantities</w:t>
            </w:r>
          </w:p>
        </w:tc>
        <w:tc>
          <w:tcPr>
            <w:vAlign w:val="center"/>
          </w:tcPr>
          <w:p w:rsidR="00000000" w:rsidDel="00000000" w:rsidP="00000000" w:rsidRDefault="00000000" w:rsidRPr="00000000" w14:paraId="0000000E">
            <w:pPr>
              <w:jc w:val="cente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0F">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c>
          <w:tcPr>
            <w:vAlign w:val="center"/>
          </w:tcPr>
          <w:p w:rsidR="00000000" w:rsidDel="00000000" w:rsidP="00000000" w:rsidRDefault="00000000" w:rsidRPr="00000000" w14:paraId="00000010">
            <w:pPr>
              <w:rPr>
                <w:highlight w:val="lightGray"/>
              </w:rPr>
            </w:pPr>
            <w:r w:rsidDel="00000000" w:rsidR="00000000" w:rsidRPr="00000000">
              <w:rPr>
                <w:rtl w:val="0"/>
              </w:rPr>
            </w:r>
          </w:p>
        </w:tc>
        <w:tc>
          <w:tcPr>
            <w:vAlign w:val="center"/>
          </w:tcPr>
          <w:p w:rsidR="00000000" w:rsidDel="00000000" w:rsidP="00000000" w:rsidRDefault="00000000" w:rsidRPr="00000000" w14:paraId="00000011">
            <w:pPr>
              <w:rPr>
                <w:highlight w:val="lightGray"/>
              </w:rPr>
            </w:pPr>
            <w:r w:rsidDel="00000000" w:rsidR="00000000" w:rsidRPr="00000000">
              <w:rPr>
                <w:rtl w:val="0"/>
              </w:rPr>
            </w:r>
          </w:p>
        </w:tc>
        <w:tc>
          <w:tcPr>
            <w:vAlign w:val="center"/>
          </w:tcPr>
          <w:p w:rsidR="00000000" w:rsidDel="00000000" w:rsidP="00000000" w:rsidRDefault="00000000" w:rsidRPr="00000000" w14:paraId="00000012">
            <w:pPr>
              <w:jc w:val="center"/>
              <w:rPr/>
            </w:pPr>
            <w:r w:rsidDel="00000000" w:rsidR="00000000" w:rsidRPr="00000000">
              <w:rPr>
                <w:rtl w:val="0"/>
              </w:rPr>
            </w:r>
          </w:p>
        </w:tc>
        <w:tc>
          <w:tcPr>
            <w:vAlign w:val="center"/>
          </w:tcPr>
          <w:p w:rsidR="00000000" w:rsidDel="00000000" w:rsidP="00000000" w:rsidRDefault="00000000" w:rsidRPr="00000000" w14:paraId="00000013">
            <w:pPr>
              <w:jc w:val="center"/>
              <w:rPr/>
            </w:pPr>
            <w:r w:rsidDel="00000000" w:rsidR="00000000" w:rsidRPr="00000000">
              <w:rPr>
                <w:rtl w:val="0"/>
              </w:rPr>
            </w:r>
          </w:p>
        </w:tc>
        <w:tc>
          <w:tcPr>
            <w:vAlign w:val="center"/>
          </w:tcPr>
          <w:p w:rsidR="00000000" w:rsidDel="00000000" w:rsidP="00000000" w:rsidRDefault="00000000" w:rsidRPr="00000000" w14:paraId="00000014">
            <w:pPr>
              <w:rPr/>
            </w:pPr>
            <w:r w:rsidDel="00000000" w:rsidR="00000000" w:rsidRPr="00000000">
              <w:rPr>
                <w:rtl w:val="0"/>
              </w:rPr>
            </w:r>
          </w:p>
        </w:tc>
      </w:tr>
      <w:tr>
        <w:tc>
          <w:tcPr>
            <w:vAlign w:val="center"/>
          </w:tcPr>
          <w:p w:rsidR="00000000" w:rsidDel="00000000" w:rsidP="00000000" w:rsidRDefault="00000000" w:rsidRPr="00000000" w14:paraId="00000015">
            <w:pPr>
              <w:rPr>
                <w:highlight w:val="lightGray"/>
              </w:rPr>
            </w:pPr>
            <w:r w:rsidDel="00000000" w:rsidR="00000000" w:rsidRPr="00000000">
              <w:rPr>
                <w:rtl w:val="0"/>
              </w:rPr>
            </w:r>
          </w:p>
        </w:tc>
        <w:tc>
          <w:tcPr>
            <w:vAlign w:val="center"/>
          </w:tcPr>
          <w:p w:rsidR="00000000" w:rsidDel="00000000" w:rsidP="00000000" w:rsidRDefault="00000000" w:rsidRPr="00000000" w14:paraId="00000016">
            <w:pPr>
              <w:rPr>
                <w:highlight w:val="lightGray"/>
              </w:rPr>
            </w:pPr>
            <w:r w:rsidDel="00000000" w:rsidR="00000000" w:rsidRPr="00000000">
              <w:rPr>
                <w:rtl w:val="0"/>
              </w:rPr>
            </w:r>
          </w:p>
        </w:tc>
        <w:tc>
          <w:tcPr>
            <w:vAlign w:val="center"/>
          </w:tcPr>
          <w:p w:rsidR="00000000" w:rsidDel="00000000" w:rsidP="00000000" w:rsidRDefault="00000000" w:rsidRPr="00000000" w14:paraId="00000017">
            <w:pPr>
              <w:jc w:val="center"/>
              <w:rPr/>
            </w:pPr>
            <w:r w:rsidDel="00000000" w:rsidR="00000000" w:rsidRPr="00000000">
              <w:rPr>
                <w:rtl w:val="0"/>
              </w:rPr>
            </w:r>
          </w:p>
        </w:tc>
        <w:tc>
          <w:tcPr>
            <w:vAlign w:val="center"/>
          </w:tcPr>
          <w:p w:rsidR="00000000" w:rsidDel="00000000" w:rsidP="00000000" w:rsidRDefault="00000000" w:rsidRPr="00000000" w14:paraId="00000018">
            <w:pPr>
              <w:jc w:val="center"/>
              <w:rPr/>
            </w:pPr>
            <w:r w:rsidDel="00000000" w:rsidR="00000000" w:rsidRPr="00000000">
              <w:rPr>
                <w:rtl w:val="0"/>
              </w:rPr>
            </w:r>
          </w:p>
        </w:tc>
        <w:tc>
          <w:tcPr>
            <w:vAlign w:val="center"/>
          </w:tcPr>
          <w:p w:rsidR="00000000" w:rsidDel="00000000" w:rsidP="00000000" w:rsidRDefault="00000000" w:rsidRPr="00000000" w14:paraId="00000019">
            <w:pPr>
              <w:rPr/>
            </w:pPr>
            <w:r w:rsidDel="00000000" w:rsidR="00000000" w:rsidRPr="00000000">
              <w:rPr>
                <w:rtl w:val="0"/>
              </w:rPr>
            </w:r>
          </w:p>
        </w:tc>
      </w:tr>
      <w:tr>
        <w:tc>
          <w:tcPr>
            <w:vAlign w:val="center"/>
          </w:tcPr>
          <w:p w:rsidR="00000000" w:rsidDel="00000000" w:rsidP="00000000" w:rsidRDefault="00000000" w:rsidRPr="00000000" w14:paraId="0000001A">
            <w:pPr>
              <w:rPr>
                <w:highlight w:val="lightGray"/>
              </w:rPr>
            </w:pPr>
            <w:r w:rsidDel="00000000" w:rsidR="00000000" w:rsidRPr="00000000">
              <w:rPr>
                <w:rtl w:val="0"/>
              </w:rPr>
            </w:r>
          </w:p>
        </w:tc>
        <w:tc>
          <w:tcPr>
            <w:vAlign w:val="center"/>
          </w:tcPr>
          <w:p w:rsidR="00000000" w:rsidDel="00000000" w:rsidP="00000000" w:rsidRDefault="00000000" w:rsidRPr="00000000" w14:paraId="0000001B">
            <w:pPr>
              <w:rPr>
                <w:highlight w:val="lightGray"/>
              </w:rPr>
            </w:pPr>
            <w:r w:rsidDel="00000000" w:rsidR="00000000" w:rsidRPr="00000000">
              <w:rPr>
                <w:rtl w:val="0"/>
              </w:rPr>
            </w:r>
          </w:p>
        </w:tc>
        <w:tc>
          <w:tcPr>
            <w:vAlign w:val="center"/>
          </w:tcPr>
          <w:p w:rsidR="00000000" w:rsidDel="00000000" w:rsidP="00000000" w:rsidRDefault="00000000" w:rsidRPr="00000000" w14:paraId="0000001C">
            <w:pPr>
              <w:jc w:val="center"/>
              <w:rPr>
                <w:i w:val="1"/>
              </w:rPr>
            </w:pPr>
            <w:r w:rsidDel="00000000" w:rsidR="00000000" w:rsidRPr="00000000">
              <w:rPr>
                <w:rtl w:val="0"/>
              </w:rPr>
            </w:r>
          </w:p>
        </w:tc>
        <w:tc>
          <w:tcPr>
            <w:vAlign w:val="center"/>
          </w:tcPr>
          <w:p w:rsidR="00000000" w:rsidDel="00000000" w:rsidP="00000000" w:rsidRDefault="00000000" w:rsidRPr="00000000" w14:paraId="0000001D">
            <w:pPr>
              <w:jc w:val="center"/>
              <w:rPr>
                <w:i w:val="1"/>
              </w:rPr>
            </w:pPr>
            <w:r w:rsidDel="00000000" w:rsidR="00000000" w:rsidRPr="00000000">
              <w:rPr>
                <w:rtl w:val="0"/>
              </w:rPr>
            </w:r>
          </w:p>
        </w:tc>
        <w:tc>
          <w:tcPr>
            <w:vAlign w:val="center"/>
          </w:tcPr>
          <w:p w:rsidR="00000000" w:rsidDel="00000000" w:rsidP="00000000" w:rsidRDefault="00000000" w:rsidRPr="00000000" w14:paraId="0000001E">
            <w:pPr>
              <w:rPr>
                <w:i w:val="1"/>
              </w:rPr>
            </w:pPr>
            <w:r w:rsidDel="00000000" w:rsidR="00000000" w:rsidRPr="00000000">
              <w:rPr>
                <w:rtl w:val="0"/>
              </w:rPr>
            </w:r>
          </w:p>
        </w:tc>
      </w:tr>
    </w:tbl>
    <w:p w:rsidR="00000000" w:rsidDel="00000000" w:rsidP="00000000" w:rsidRDefault="00000000" w:rsidRPr="00000000" w14:paraId="0000001F">
      <w:pPr>
        <w:rPr/>
      </w:pPr>
      <w:r w:rsidDel="00000000" w:rsidR="00000000" w:rsidRPr="00000000">
        <w:rPr>
          <w:rtl w:val="0"/>
        </w:rPr>
        <w:t xml:space="preserve">No confirmed quantities are required for the different types of phones. The supplier should be able to deliver the phones as and when requested by UNOPS in line with BPA after contract signature.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Delivery requirements and </w:t>
      </w:r>
      <w:r w:rsidDel="00000000" w:rsidR="00000000" w:rsidRPr="00000000">
        <w:rPr>
          <w:b w:val="1"/>
          <w:color w:val="000000"/>
          <w:rtl w:val="0"/>
        </w:rPr>
        <w:t xml:space="preserve">Comparative Data Table</w:t>
      </w:r>
      <w:r w:rsidDel="00000000" w:rsidR="00000000" w:rsidRPr="00000000">
        <w:rPr>
          <w:b w:val="1"/>
          <w:rtl w:val="0"/>
        </w:rPr>
        <w:t xml:space="preserve">:</w:t>
      </w:r>
    </w:p>
    <w:p w:rsidR="00000000" w:rsidDel="00000000" w:rsidP="00000000" w:rsidRDefault="00000000" w:rsidRPr="00000000" w14:paraId="00000022">
      <w:pPr>
        <w:rPr/>
      </w:pPr>
      <w:r w:rsidDel="00000000" w:rsidR="00000000" w:rsidRPr="00000000">
        <w:rPr>
          <w:rtl w:val="0"/>
        </w:rPr>
      </w:r>
    </w:p>
    <w:tbl>
      <w:tblPr>
        <w:tblStyle w:val="Table2"/>
        <w:tblW w:w="9777.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7"/>
        <w:gridCol w:w="2125"/>
        <w:gridCol w:w="2833"/>
        <w:tblGridChange w:id="0">
          <w:tblGrid>
            <w:gridCol w:w="1702"/>
            <w:gridCol w:w="3117"/>
            <w:gridCol w:w="2125"/>
            <w:gridCol w:w="2833"/>
          </w:tblGrid>
        </w:tblGridChange>
      </w:tblGrid>
      <w:tr>
        <w:trPr>
          <w:trHeight w:val="306" w:hRule="atLeast"/>
        </w:trPr>
        <w:tc>
          <w:tcPr>
            <w:gridSpan w:val="2"/>
            <w:shd w:fill="d9d9d9" w:val="clear"/>
            <w:vAlign w:val="center"/>
          </w:tcPr>
          <w:p w:rsidR="00000000" w:rsidDel="00000000" w:rsidP="00000000" w:rsidRDefault="00000000" w:rsidRPr="00000000" w14:paraId="00000023">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25">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26">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27">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28">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29">
            <w:pPr>
              <w:rPr>
                <w:rFonts w:ascii="Arial" w:cs="Arial" w:eastAsia="Arial" w:hAnsi="Arial"/>
                <w:highlight w:val="yellow"/>
              </w:rPr>
            </w:pPr>
            <w:r w:rsidDel="00000000" w:rsidR="00000000" w:rsidRPr="00000000">
              <w:rPr>
                <w:rFonts w:ascii="Arial" w:cs="Arial" w:eastAsia="Arial" w:hAnsi="Arial"/>
                <w:rtl w:val="0"/>
              </w:rPr>
              <w:t xml:space="preserve">Bidder shall deliver the goods as and when required in line with the BPA after Contract signature.</w:t>
            </w:r>
            <w:r w:rsidDel="00000000" w:rsidR="00000000" w:rsidRPr="00000000">
              <w:rPr>
                <w:rtl w:val="0"/>
              </w:rPr>
            </w:r>
          </w:p>
        </w:tc>
        <w:tc>
          <w:tcPr>
            <w:vAlign w:val="center"/>
          </w:tcPr>
          <w:p w:rsidR="00000000" w:rsidDel="00000000" w:rsidP="00000000" w:rsidRDefault="00000000" w:rsidRPr="00000000" w14:paraId="0000002A">
            <w:pPr>
              <w:rPr>
                <w:rFonts w:ascii="Arial" w:cs="Arial" w:eastAsia="Arial" w:hAnsi="Arial"/>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2B">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2C">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02D">
            <w:pPr>
              <w:rPr>
                <w:rFonts w:ascii="Arial" w:cs="Arial" w:eastAsia="Arial" w:hAnsi="Arial"/>
                <w:highlight w:val="yellow"/>
              </w:rPr>
            </w:pPr>
            <w:r w:rsidDel="00000000" w:rsidR="00000000" w:rsidRPr="00000000">
              <w:rPr>
                <w:rFonts w:ascii="Arial" w:cs="Arial" w:eastAsia="Arial" w:hAnsi="Arial"/>
                <w:rtl w:val="0"/>
              </w:rPr>
              <w:t xml:space="preserve">UNOPS Gigiri as per Incoterms 2010.</w:t>
            </w:r>
            <w:r w:rsidDel="00000000" w:rsidR="00000000" w:rsidRPr="00000000">
              <w:rPr>
                <w:rtl w:val="0"/>
              </w:rPr>
            </w:r>
          </w:p>
        </w:tc>
        <w:tc>
          <w:tcPr>
            <w:vAlign w:val="center"/>
          </w:tcPr>
          <w:p w:rsidR="00000000" w:rsidDel="00000000" w:rsidP="00000000" w:rsidRDefault="00000000" w:rsidRPr="00000000" w14:paraId="0000002E">
            <w:pPr>
              <w:rPr>
                <w:rFonts w:ascii="Arial" w:cs="Arial" w:eastAsia="Arial" w:hAnsi="Arial"/>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2F">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30">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031">
            <w:pPr>
              <w:rPr>
                <w:rFonts w:ascii="Arial" w:cs="Arial" w:eastAsia="Arial" w:hAnsi="Arial"/>
                <w:highlight w:val="yellow"/>
              </w:rPr>
            </w:pPr>
            <w:r w:rsidDel="00000000" w:rsidR="00000000" w:rsidRPr="00000000">
              <w:rPr>
                <w:rFonts w:ascii="Arial" w:cs="Arial" w:eastAsia="Arial" w:hAnsi="Arial"/>
                <w:rtl w:val="0"/>
              </w:rPr>
              <w:t xml:space="preserve">UNOPS </w:t>
            </w:r>
            <w:r w:rsidDel="00000000" w:rsidR="00000000" w:rsidRPr="00000000">
              <w:rPr>
                <w:rtl w:val="0"/>
              </w:rPr>
            </w:r>
          </w:p>
        </w:tc>
        <w:tc>
          <w:tcPr>
            <w:vAlign w:val="center"/>
          </w:tcPr>
          <w:p w:rsidR="00000000" w:rsidDel="00000000" w:rsidP="00000000" w:rsidRDefault="00000000" w:rsidRPr="00000000" w14:paraId="00000032">
            <w:pPr>
              <w:rPr>
                <w:rFonts w:ascii="Arial" w:cs="Arial" w:eastAsia="Arial" w:hAnsi="Arial"/>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33">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34">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highlight w:val="lightGray"/>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time the Contract is awarded, UNOPS reserves the right to vary the quantity of the goods and associated services specified above, provided this does not exceed +/- 20% ,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Yes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No</w:t>
            </w:r>
            <w:r w:rsidDel="00000000" w:rsidR="00000000" w:rsidRPr="00000000">
              <w:rPr>
                <w:rtl w:val="0"/>
              </w:rPr>
            </w:r>
          </w:p>
        </w:tc>
        <w:tc>
          <w:tcPr>
            <w:vAlign w:val="center"/>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details </w:t>
            </w:r>
            <w:r w:rsidDel="00000000" w:rsidR="00000000" w:rsidRPr="00000000">
              <w:rPr>
                <w:rtl w:val="0"/>
              </w:rPr>
            </w:r>
          </w:p>
        </w:tc>
      </w:tr>
    </w:tb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rFonts w:ascii="Times New Roman" w:cs="Times New Roman" w:eastAsia="Times New Roman" w:hAnsi="Times New Roman"/>
          <w:b w:val="1"/>
          <w:i w:val="0"/>
          <w:smallCaps w:val="0"/>
          <w:strike w:val="0"/>
          <w:color w:val="ffffff"/>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23"/>
          <w:szCs w:val="23"/>
          <w:u w:val="none"/>
          <w:shd w:fill="auto" w:val="clear"/>
          <w:vertAlign w:val="baseline"/>
          <w:rtl w:val="0"/>
        </w:rPr>
        <w:t xml:space="preserve"> 00ax: +45 45 33 75 01</w:t>
      </w: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MS Gothic"/>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18623</wp:posOffset>
                </wp:positionH>
                <wp:positionV relativeFrom="paragraph">
                  <wp:posOffset>-28529</wp:posOffset>
                </wp:positionV>
                <wp:extent cx="1477645" cy="215900"/>
                <wp:effectExtent b="0" l="0" r="0" t="0"/>
                <wp:wrapNone/>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iszaX4Nr+BID3lSo9iPzfX+VA==">AMUW2mWswjIRDmVratDp3j3Pby56J4/ysL6/bZJUBcwS3qYcSnsQm4K/81TQk88RUIkHvWrQE5Ybfy20PF44LJ28+EZLkyeDYpjLwEoj9nef6heP3D3ZCMMNiiuiAFH/9XpiFVzLY9GP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2020-01-24T05:46:00Z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