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29B1D" w14:textId="77777777" w:rsidR="00C247C5" w:rsidRPr="00EA3B7E" w:rsidRDefault="00C247C5" w:rsidP="00C247C5">
      <w:pPr>
        <w:jc w:val="center"/>
        <w:rPr>
          <w:b/>
          <w:bCs/>
          <w:shd w:val="clear" w:color="auto" w:fill="FFFFFF"/>
          <w:lang w:eastAsia="ru-RU"/>
        </w:rPr>
      </w:pPr>
      <w:r w:rsidRPr="00EA3B7E">
        <w:rPr>
          <w:b/>
          <w:bCs/>
        </w:rPr>
        <w:t>Questions and Answers upon results on the Pre-Bidding Conference</w:t>
      </w:r>
    </w:p>
    <w:p w14:paraId="2A955684" w14:textId="77777777" w:rsidR="00C247C5" w:rsidRPr="00EA3B7E" w:rsidRDefault="00C247C5" w:rsidP="00C247C5">
      <w:pPr>
        <w:jc w:val="center"/>
        <w:rPr>
          <w:b/>
          <w:bCs/>
          <w:lang w:eastAsia="ru-RU"/>
        </w:rPr>
      </w:pPr>
      <w:r w:rsidRPr="00EA3B7E">
        <w:rPr>
          <w:b/>
          <w:bCs/>
          <w:shd w:val="clear" w:color="auto" w:fill="FFFFFF"/>
          <w:lang w:eastAsia="ru-RU"/>
        </w:rPr>
        <w:t>Ref. 416-2021-UNDP-UKR-RFP-BMO</w:t>
      </w:r>
    </w:p>
    <w:p w14:paraId="3E24DB86" w14:textId="77777777" w:rsidR="00C247C5" w:rsidRPr="00EA3B7E" w:rsidRDefault="00C247C5" w:rsidP="00C247C5">
      <w:pPr>
        <w:jc w:val="center"/>
        <w:rPr>
          <w:b/>
          <w:bCs/>
        </w:rPr>
      </w:pPr>
      <w:r w:rsidRPr="00EA3B7E">
        <w:rPr>
          <w:b/>
          <w:bCs/>
        </w:rPr>
        <w:t xml:space="preserve">«Design and delivery of a medium-term cross-disciplinary in-person and remote training with a practical coaching component for leaders of selected SME Business Membership </w:t>
      </w:r>
      <w:proofErr w:type="spellStart"/>
      <w:r w:rsidRPr="00EA3B7E">
        <w:rPr>
          <w:b/>
          <w:bCs/>
        </w:rPr>
        <w:t>Organisations</w:t>
      </w:r>
      <w:proofErr w:type="spellEnd"/>
      <w:r w:rsidRPr="00EA3B7E">
        <w:rPr>
          <w:b/>
          <w:bCs/>
        </w:rPr>
        <w:t xml:space="preserve"> (BMOs)»</w:t>
      </w:r>
    </w:p>
    <w:p w14:paraId="2706734B" w14:textId="77777777" w:rsidR="00C247C5" w:rsidRPr="00EA3B7E" w:rsidRDefault="00C247C5" w:rsidP="00C247C5">
      <w:pPr>
        <w:jc w:val="center"/>
        <w:rPr>
          <w:rStyle w:val="Strong"/>
          <w:rFonts w:asciiTheme="minorHAnsi" w:hAnsiTheme="minorHAnsi" w:cstheme="minorHAnsi"/>
          <w:b w:val="0"/>
          <w:bCs/>
        </w:rPr>
      </w:pPr>
      <w:r w:rsidRPr="00EA3B7E">
        <w:rPr>
          <w:b/>
          <w:bCs/>
        </w:rPr>
        <w:t>July 15, 2021, 15:00, Skype meeting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3380"/>
        <w:gridCol w:w="6096"/>
      </w:tblGrid>
      <w:tr w:rsidR="00C247C5" w:rsidRPr="00EA3B7E" w14:paraId="3D249D84" w14:textId="77777777" w:rsidTr="003F7EA3">
        <w:tc>
          <w:tcPr>
            <w:tcW w:w="731" w:type="dxa"/>
          </w:tcPr>
          <w:p w14:paraId="3D81CAAE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80" w:type="dxa"/>
          </w:tcPr>
          <w:p w14:paraId="37494529" w14:textId="77777777" w:rsidR="00C247C5" w:rsidRPr="00EA3B7E" w:rsidRDefault="00C247C5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Question</w:t>
            </w:r>
          </w:p>
        </w:tc>
        <w:tc>
          <w:tcPr>
            <w:tcW w:w="6096" w:type="dxa"/>
          </w:tcPr>
          <w:p w14:paraId="10EF0878" w14:textId="77777777" w:rsidR="00C247C5" w:rsidRPr="00EA3B7E" w:rsidRDefault="00C247C5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Answer</w:t>
            </w:r>
          </w:p>
        </w:tc>
      </w:tr>
      <w:tr w:rsidR="00C247C5" w:rsidRPr="00EA3B7E" w14:paraId="516BD7AD" w14:textId="77777777" w:rsidTr="003F7EA3">
        <w:tc>
          <w:tcPr>
            <w:tcW w:w="731" w:type="dxa"/>
          </w:tcPr>
          <w:p w14:paraId="40BB9417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380" w:type="dxa"/>
          </w:tcPr>
          <w:p w14:paraId="772D069A" w14:textId="77777777" w:rsidR="00C247C5" w:rsidRPr="00EA3B7E" w:rsidRDefault="00C247C5" w:rsidP="003F7EA3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>What has been fundamentally changed in the provisions of the current tender documentation compared to the previous version?</w:t>
            </w:r>
          </w:p>
        </w:tc>
        <w:tc>
          <w:tcPr>
            <w:tcW w:w="6096" w:type="dxa"/>
          </w:tcPr>
          <w:p w14:paraId="15633064" w14:textId="77777777" w:rsidR="00C247C5" w:rsidRPr="00EA3B7E" w:rsidRDefault="00C247C5" w:rsidP="00C247C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1. Now there are only 2 groups of participants, not </w:t>
            </w:r>
            <w:proofErr w:type="gramStart"/>
            <w:r w:rsidRPr="00EA3B7E">
              <w:rPr>
                <w:rFonts w:asciiTheme="minorHAnsi" w:hAnsiTheme="minorHAnsi" w:cstheme="minorHAnsi"/>
                <w:bCs/>
              </w:rPr>
              <w:t>3;</w:t>
            </w:r>
            <w:proofErr w:type="gramEnd"/>
          </w:p>
          <w:p w14:paraId="19443C48" w14:textId="77777777" w:rsidR="00C247C5" w:rsidRPr="00EA3B7E" w:rsidRDefault="00C247C5" w:rsidP="00C247C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2. Broadcasts of lectures can be done </w:t>
            </w:r>
            <w:proofErr w:type="gramStart"/>
            <w:r w:rsidRPr="00EA3B7E">
              <w:rPr>
                <w:rFonts w:asciiTheme="minorHAnsi" w:hAnsiTheme="minorHAnsi" w:cstheme="minorHAnsi"/>
                <w:bCs/>
              </w:rPr>
              <w:t>once;</w:t>
            </w:r>
            <w:proofErr w:type="gramEnd"/>
          </w:p>
          <w:p w14:paraId="69C9425D" w14:textId="34B64C9A" w:rsidR="00C247C5" w:rsidRPr="00EA3B7E" w:rsidRDefault="00C247C5" w:rsidP="00C247C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3. </w:t>
            </w:r>
            <w:r w:rsidR="00EE5956">
              <w:rPr>
                <w:rFonts w:asciiTheme="minorHAnsi" w:hAnsiTheme="minorHAnsi" w:cstheme="minorHAnsi"/>
                <w:bCs/>
              </w:rPr>
              <w:t>Considering revised budget</w:t>
            </w:r>
            <w:r w:rsidR="002D3D4C">
              <w:rPr>
                <w:rFonts w:asciiTheme="minorHAnsi" w:hAnsiTheme="minorHAnsi" w:cstheme="minorHAnsi"/>
                <w:bCs/>
              </w:rPr>
              <w:t xml:space="preserve">, </w:t>
            </w:r>
            <w:r w:rsidR="00723695">
              <w:rPr>
                <w:rFonts w:asciiTheme="minorHAnsi" w:hAnsiTheme="minorHAnsi" w:cstheme="minorHAnsi"/>
                <w:bCs/>
              </w:rPr>
              <w:t>following UNDP</w:t>
            </w:r>
            <w:r w:rsidR="00EE5956">
              <w:rPr>
                <w:rFonts w:asciiTheme="minorHAnsi" w:hAnsiTheme="minorHAnsi" w:cstheme="minorHAnsi"/>
                <w:bCs/>
              </w:rPr>
              <w:t xml:space="preserve"> tendering procedures,</w:t>
            </w:r>
            <w:r w:rsidR="002D3D4C">
              <w:rPr>
                <w:rFonts w:asciiTheme="minorHAnsi" w:hAnsiTheme="minorHAnsi" w:cstheme="minorHAnsi"/>
                <w:bCs/>
              </w:rPr>
              <w:t xml:space="preserve"> form of</w:t>
            </w:r>
            <w:r w:rsidR="00EE5956">
              <w:rPr>
                <w:rFonts w:asciiTheme="minorHAnsi" w:hAnsiTheme="minorHAnsi" w:cstheme="minorHAnsi"/>
                <w:bCs/>
              </w:rPr>
              <w:t xml:space="preserve"> solicitation document template </w:t>
            </w:r>
            <w:r w:rsidR="00723695">
              <w:rPr>
                <w:rFonts w:asciiTheme="minorHAnsi" w:hAnsiTheme="minorHAnsi" w:cstheme="minorHAnsi"/>
                <w:bCs/>
              </w:rPr>
              <w:t>has changed</w:t>
            </w:r>
            <w:r w:rsidR="00EE5956">
              <w:rPr>
                <w:rFonts w:asciiTheme="minorHAnsi" w:hAnsiTheme="minorHAnsi" w:cstheme="minorHAnsi"/>
                <w:bCs/>
              </w:rPr>
              <w:t>. Bid submission</w:t>
            </w:r>
            <w:r w:rsidR="00723695">
              <w:rPr>
                <w:rFonts w:asciiTheme="minorHAnsi" w:hAnsiTheme="minorHAnsi" w:cstheme="minorHAnsi"/>
                <w:bCs/>
              </w:rPr>
              <w:t xml:space="preserve"> type has</w:t>
            </w:r>
            <w:r w:rsidR="00EE5956">
              <w:rPr>
                <w:rFonts w:asciiTheme="minorHAnsi" w:hAnsiTheme="minorHAnsi" w:cstheme="minorHAnsi"/>
                <w:bCs/>
              </w:rPr>
              <w:t xml:space="preserve"> changed</w:t>
            </w:r>
            <w:r w:rsidR="00723695">
              <w:rPr>
                <w:rFonts w:asciiTheme="minorHAnsi" w:hAnsiTheme="minorHAnsi" w:cstheme="minorHAnsi"/>
                <w:bCs/>
              </w:rPr>
              <w:t xml:space="preserve"> as well.</w:t>
            </w:r>
            <w:r w:rsidR="00EE5956">
              <w:rPr>
                <w:rFonts w:asciiTheme="minorHAnsi" w:hAnsiTheme="minorHAnsi" w:cstheme="minorHAnsi"/>
                <w:bCs/>
              </w:rPr>
              <w:t xml:space="preserve"> </w:t>
            </w:r>
            <w:r w:rsidR="00723695">
              <w:rPr>
                <w:rFonts w:asciiTheme="minorHAnsi" w:hAnsiTheme="minorHAnsi" w:cstheme="minorHAnsi"/>
                <w:bCs/>
              </w:rPr>
              <w:t>Bid</w:t>
            </w:r>
            <w:r w:rsidR="002D3D4C">
              <w:rPr>
                <w:rFonts w:asciiTheme="minorHAnsi" w:hAnsiTheme="minorHAnsi" w:cstheme="minorHAnsi"/>
                <w:bCs/>
              </w:rPr>
              <w:t>s</w:t>
            </w:r>
            <w:r w:rsidR="00723695">
              <w:rPr>
                <w:rFonts w:asciiTheme="minorHAnsi" w:hAnsiTheme="minorHAnsi" w:cstheme="minorHAnsi"/>
                <w:bCs/>
              </w:rPr>
              <w:t xml:space="preserve"> should be </w:t>
            </w:r>
            <w:r w:rsidRPr="00EA3B7E">
              <w:rPr>
                <w:rFonts w:asciiTheme="minorHAnsi" w:hAnsiTheme="minorHAnsi" w:cstheme="minorHAnsi"/>
                <w:bCs/>
              </w:rPr>
              <w:t>submi</w:t>
            </w:r>
            <w:r w:rsidR="00723695">
              <w:rPr>
                <w:rFonts w:asciiTheme="minorHAnsi" w:hAnsiTheme="minorHAnsi" w:cstheme="minorHAnsi"/>
                <w:bCs/>
              </w:rPr>
              <w:t>tted via</w:t>
            </w:r>
            <w:r w:rsidR="002D3D4C">
              <w:rPr>
                <w:rFonts w:asciiTheme="minorHAnsi" w:hAnsiTheme="minorHAnsi" w:cstheme="minorHAnsi"/>
                <w:bCs/>
              </w:rPr>
              <w:t xml:space="preserve"> online</w:t>
            </w:r>
            <w:r w:rsidR="00723695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EA3B7E">
              <w:rPr>
                <w:rFonts w:asciiTheme="minorHAnsi" w:hAnsiTheme="minorHAnsi" w:cstheme="minorHAnsi"/>
                <w:bCs/>
              </w:rPr>
              <w:t>e</w:t>
            </w:r>
            <w:r w:rsidR="00723695">
              <w:rPr>
                <w:rFonts w:asciiTheme="minorHAnsi" w:hAnsiTheme="minorHAnsi" w:cstheme="minorHAnsi"/>
                <w:bCs/>
              </w:rPr>
              <w:t>T</w:t>
            </w:r>
            <w:r w:rsidRPr="00EA3B7E">
              <w:rPr>
                <w:rFonts w:asciiTheme="minorHAnsi" w:hAnsiTheme="minorHAnsi" w:cstheme="minorHAnsi"/>
                <w:bCs/>
              </w:rPr>
              <w:t>endering</w:t>
            </w:r>
            <w:proofErr w:type="spellEnd"/>
            <w:r w:rsidRPr="00EA3B7E">
              <w:rPr>
                <w:rFonts w:asciiTheme="minorHAnsi" w:hAnsiTheme="minorHAnsi" w:cstheme="minorHAnsi"/>
                <w:bCs/>
              </w:rPr>
              <w:t xml:space="preserve"> system.</w:t>
            </w:r>
          </w:p>
          <w:p w14:paraId="6903CA11" w14:textId="77777777" w:rsidR="00C247C5" w:rsidRPr="00EA3B7E" w:rsidRDefault="00C247C5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247C5" w:rsidRPr="00EA3B7E" w14:paraId="429C0A15" w14:textId="77777777" w:rsidTr="003F7EA3">
        <w:tc>
          <w:tcPr>
            <w:tcW w:w="731" w:type="dxa"/>
          </w:tcPr>
          <w:p w14:paraId="313DD819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380" w:type="dxa"/>
          </w:tcPr>
          <w:p w14:paraId="2C97FF2A" w14:textId="01D5CFE0" w:rsidR="00C247C5" w:rsidRPr="00EA3B7E" w:rsidRDefault="00C247C5" w:rsidP="003F7EA3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Questions regarding the budgetary part of the proposal: the cost of services </w:t>
            </w:r>
            <w:r w:rsidR="00703403" w:rsidRPr="00EA3B7E">
              <w:rPr>
                <w:rFonts w:asciiTheme="minorHAnsi" w:hAnsiTheme="minorHAnsi" w:cstheme="minorHAnsi"/>
                <w:bCs/>
              </w:rPr>
              <w:t>of</w:t>
            </w:r>
            <w:r w:rsidRPr="00EA3B7E">
              <w:rPr>
                <w:rFonts w:asciiTheme="minorHAnsi" w:hAnsiTheme="minorHAnsi" w:cstheme="minorHAnsi"/>
                <w:bCs/>
              </w:rPr>
              <w:t xml:space="preserve"> MBA graduate coaches is oftentimes quite high, what should be done in this case?</w:t>
            </w:r>
          </w:p>
        </w:tc>
        <w:tc>
          <w:tcPr>
            <w:tcW w:w="6096" w:type="dxa"/>
          </w:tcPr>
          <w:p w14:paraId="5E24BE0E" w14:textId="74A27D91" w:rsidR="00C247C5" w:rsidRPr="00EA3B7E" w:rsidRDefault="00C247C5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Coaching is an important part of the future business school's activities. Taking into account the previously submitted applications for participation in the tender, the tender documentation was </w:t>
            </w:r>
            <w:proofErr w:type="gramStart"/>
            <w:r w:rsidRPr="00EA3B7E">
              <w:rPr>
                <w:rFonts w:asciiTheme="minorHAnsi" w:hAnsiTheme="minorHAnsi" w:cstheme="minorHAnsi"/>
                <w:bCs/>
              </w:rPr>
              <w:t>revised</w:t>
            </w:r>
            <w:proofErr w:type="gramEnd"/>
            <w:r w:rsidRPr="00EA3B7E">
              <w:rPr>
                <w:rFonts w:asciiTheme="minorHAnsi" w:hAnsiTheme="minorHAnsi" w:cstheme="minorHAnsi"/>
                <w:bCs/>
              </w:rPr>
              <w:t xml:space="preserve"> and appropriate adjustments were made. </w:t>
            </w:r>
            <w:proofErr w:type="gramStart"/>
            <w:r w:rsidRPr="00EA3B7E">
              <w:rPr>
                <w:rFonts w:asciiTheme="minorHAnsi" w:hAnsiTheme="minorHAnsi" w:cstheme="minorHAnsi"/>
                <w:bCs/>
              </w:rPr>
              <w:t>In particular, UNDP</w:t>
            </w:r>
            <w:proofErr w:type="gramEnd"/>
            <w:r w:rsidRPr="00EA3B7E">
              <w:rPr>
                <w:rFonts w:asciiTheme="minorHAnsi" w:hAnsiTheme="minorHAnsi" w:cstheme="minorHAnsi"/>
                <w:bCs/>
              </w:rPr>
              <w:t xml:space="preserve"> does not set specific limits on the cost of coaching services. </w:t>
            </w:r>
          </w:p>
        </w:tc>
      </w:tr>
      <w:tr w:rsidR="00C247C5" w:rsidRPr="00EA3B7E" w14:paraId="36986B3E" w14:textId="77777777" w:rsidTr="003F7EA3">
        <w:tc>
          <w:tcPr>
            <w:tcW w:w="731" w:type="dxa"/>
          </w:tcPr>
          <w:p w14:paraId="773BB027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3380" w:type="dxa"/>
          </w:tcPr>
          <w:p w14:paraId="47E1B0EB" w14:textId="24B4AC27" w:rsidR="00C247C5" w:rsidRPr="00EA3B7E" w:rsidRDefault="00D55460" w:rsidP="003F7EA3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In the </w:t>
            </w:r>
            <w:proofErr w:type="spellStart"/>
            <w:r w:rsidRPr="00EA3B7E">
              <w:rPr>
                <w:rFonts w:asciiTheme="minorHAnsi" w:hAnsiTheme="minorHAnsi" w:cstheme="minorHAnsi"/>
                <w:bCs/>
              </w:rPr>
              <w:t>ToR</w:t>
            </w:r>
            <w:proofErr w:type="spellEnd"/>
            <w:r w:rsidRPr="00EA3B7E">
              <w:rPr>
                <w:rFonts w:asciiTheme="minorHAnsi" w:hAnsiTheme="minorHAnsi" w:cstheme="minorHAnsi"/>
                <w:bCs/>
              </w:rPr>
              <w:t xml:space="preserve"> it is indicated that on one day c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ertain </w:t>
            </w:r>
            <w:r w:rsidRPr="00EA3B7E">
              <w:rPr>
                <w:rFonts w:asciiTheme="minorHAnsi" w:hAnsiTheme="minorHAnsi" w:cstheme="minorHAnsi"/>
                <w:bCs/>
              </w:rPr>
              <w:t xml:space="preserve">face-to-face 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lectures are held for the leaders of the BMOs and in parallel they are broadcast for about 100 people related to one or another BMO. And on </w:t>
            </w:r>
            <w:r w:rsidR="00EA3B7E" w:rsidRPr="00EA3B7E">
              <w:rPr>
                <w:rFonts w:asciiTheme="minorHAnsi" w:hAnsiTheme="minorHAnsi" w:cstheme="minorHAnsi"/>
                <w:bCs/>
              </w:rPr>
              <w:t>another</w:t>
            </w:r>
            <w:r w:rsidR="00FE3EA6" w:rsidRPr="00EA3B7E">
              <w:rPr>
                <w:rFonts w:asciiTheme="minorHAnsi" w:hAnsiTheme="minorHAnsi" w:cstheme="minorHAnsi"/>
                <w:bCs/>
              </w:rPr>
              <w:t xml:space="preserve"> 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day, offline lectures are held for </w:t>
            </w:r>
            <w:r w:rsidRPr="00EA3B7E">
              <w:rPr>
                <w:rFonts w:asciiTheme="minorHAnsi" w:hAnsiTheme="minorHAnsi" w:cstheme="minorHAnsi"/>
                <w:bCs/>
              </w:rPr>
              <w:t>one specialized representative from each BMO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. In this case, these specialized representatives can </w:t>
            </w:r>
            <w:r w:rsidRPr="00EA3B7E">
              <w:rPr>
                <w:rFonts w:asciiTheme="minorHAnsi" w:hAnsiTheme="minorHAnsi" w:cstheme="minorHAnsi"/>
                <w:bCs/>
              </w:rPr>
              <w:t>join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 </w:t>
            </w:r>
            <w:r w:rsidRPr="00EA3B7E">
              <w:rPr>
                <w:rFonts w:asciiTheme="minorHAnsi" w:hAnsiTheme="minorHAnsi" w:cstheme="minorHAnsi"/>
                <w:bCs/>
              </w:rPr>
              <w:t xml:space="preserve">the 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broadcasts </w:t>
            </w:r>
            <w:r w:rsidRPr="00EA3B7E">
              <w:rPr>
                <w:rFonts w:asciiTheme="minorHAnsi" w:hAnsiTheme="minorHAnsi" w:cstheme="minorHAnsi"/>
                <w:bCs/>
              </w:rPr>
              <w:t xml:space="preserve">, as well as 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attend face-to-face </w:t>
            </w:r>
            <w:r w:rsidRPr="00EA3B7E">
              <w:rPr>
                <w:rFonts w:asciiTheme="minorHAnsi" w:hAnsiTheme="minorHAnsi" w:cstheme="minorHAnsi"/>
                <w:bCs/>
              </w:rPr>
              <w:t>submodules</w:t>
            </w:r>
            <w:r w:rsidR="00C247C5" w:rsidRPr="00EA3B7E">
              <w:rPr>
                <w:rFonts w:asciiTheme="minorHAnsi" w:hAnsiTheme="minorHAnsi" w:cstheme="minorHAnsi"/>
                <w:bCs/>
              </w:rPr>
              <w:t xml:space="preserve">, right? </w:t>
            </w:r>
          </w:p>
        </w:tc>
        <w:tc>
          <w:tcPr>
            <w:tcW w:w="6096" w:type="dxa"/>
          </w:tcPr>
          <w:p w14:paraId="384CFED0" w14:textId="77777777" w:rsidR="00D55460" w:rsidRPr="00EA3B7E" w:rsidRDefault="00D55460" w:rsidP="00D5546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>Yes, they can join the broadcasts.</w:t>
            </w:r>
          </w:p>
          <w:p w14:paraId="7CD84A6D" w14:textId="77777777" w:rsidR="00D55460" w:rsidRPr="00EA3B7E" w:rsidRDefault="00D55460" w:rsidP="00D5546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0AC21C6" w14:textId="77777777" w:rsidR="00D55460" w:rsidRPr="00EA3B7E" w:rsidRDefault="00D55460" w:rsidP="00D5546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>But submodules which are held only for the specialized representatives of the BMOs will not be broadcast.</w:t>
            </w:r>
          </w:p>
        </w:tc>
      </w:tr>
      <w:tr w:rsidR="00C247C5" w:rsidRPr="00EA3B7E" w14:paraId="214C2AD1" w14:textId="77777777" w:rsidTr="003F7EA3">
        <w:tc>
          <w:tcPr>
            <w:tcW w:w="731" w:type="dxa"/>
          </w:tcPr>
          <w:p w14:paraId="1056F9DA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3380" w:type="dxa"/>
          </w:tcPr>
          <w:p w14:paraId="73BBC8E1" w14:textId="77777777" w:rsidR="00C247C5" w:rsidRPr="00EA3B7E" w:rsidRDefault="00D55460" w:rsidP="003F7EA3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Can </w:t>
            </w:r>
            <w:r w:rsidR="00703403" w:rsidRPr="00EA3B7E">
              <w:rPr>
                <w:rFonts w:asciiTheme="minorHAnsi" w:hAnsiTheme="minorHAnsi" w:cstheme="minorHAnsi"/>
                <w:bCs/>
              </w:rPr>
              <w:t xml:space="preserve">a </w:t>
            </w:r>
            <w:r w:rsidRPr="00EA3B7E">
              <w:rPr>
                <w:rFonts w:asciiTheme="minorHAnsi" w:hAnsiTheme="minorHAnsi" w:cstheme="minorHAnsi"/>
                <w:bCs/>
              </w:rPr>
              <w:t>coordinator be</w:t>
            </w:r>
            <w:r w:rsidR="00703403" w:rsidRPr="00EA3B7E">
              <w:rPr>
                <w:rFonts w:asciiTheme="minorHAnsi" w:hAnsiTheme="minorHAnsi" w:cstheme="minorHAnsi"/>
                <w:bCs/>
              </w:rPr>
              <w:t xml:space="preserve"> a</w:t>
            </w:r>
            <w:r w:rsidRPr="00EA3B7E">
              <w:rPr>
                <w:rFonts w:asciiTheme="minorHAnsi" w:hAnsiTheme="minorHAnsi" w:cstheme="minorHAnsi"/>
                <w:bCs/>
              </w:rPr>
              <w:t xml:space="preserve"> lecturer at the same time?</w:t>
            </w:r>
          </w:p>
        </w:tc>
        <w:tc>
          <w:tcPr>
            <w:tcW w:w="6096" w:type="dxa"/>
          </w:tcPr>
          <w:p w14:paraId="061651C8" w14:textId="77777777" w:rsidR="00C247C5" w:rsidRPr="00EA3B7E" w:rsidRDefault="00D55460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Yes, if he/she meets all the requirements specified in the </w:t>
            </w:r>
            <w:proofErr w:type="spellStart"/>
            <w:r w:rsidRPr="00EA3B7E">
              <w:rPr>
                <w:rFonts w:asciiTheme="minorHAnsi" w:hAnsiTheme="minorHAnsi" w:cstheme="minorHAnsi"/>
                <w:bCs/>
              </w:rPr>
              <w:t>ToR</w:t>
            </w:r>
            <w:proofErr w:type="spellEnd"/>
            <w:r w:rsidRPr="00EA3B7E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C247C5" w:rsidRPr="00EA3B7E" w14:paraId="45B9CB44" w14:textId="77777777" w:rsidTr="003F7EA3">
        <w:tc>
          <w:tcPr>
            <w:tcW w:w="731" w:type="dxa"/>
          </w:tcPr>
          <w:p w14:paraId="02136082" w14:textId="77777777" w:rsidR="00C247C5" w:rsidRPr="00EA3B7E" w:rsidRDefault="00C247C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A3B7E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3380" w:type="dxa"/>
          </w:tcPr>
          <w:p w14:paraId="3C6A00C4" w14:textId="77777777" w:rsidR="00D55460" w:rsidRPr="00EA3B7E" w:rsidRDefault="00D55460" w:rsidP="003F7EA3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Is it possible to replace coaches </w:t>
            </w:r>
            <w:r w:rsidR="00703403" w:rsidRPr="00EA3B7E">
              <w:rPr>
                <w:rFonts w:asciiTheme="minorHAnsi" w:hAnsiTheme="minorHAnsi" w:cstheme="minorHAnsi"/>
                <w:bCs/>
              </w:rPr>
              <w:t>with</w:t>
            </w:r>
            <w:r w:rsidRPr="00EA3B7E">
              <w:rPr>
                <w:rFonts w:asciiTheme="minorHAnsi" w:hAnsiTheme="minorHAnsi" w:cstheme="minorHAnsi"/>
                <w:bCs/>
              </w:rPr>
              <w:t xml:space="preserve"> others during the learning process? Are coaches indicated in the Contract on a permanent basis? Will it be necessary to make any additions to the Contract in this case?</w:t>
            </w:r>
          </w:p>
        </w:tc>
        <w:tc>
          <w:tcPr>
            <w:tcW w:w="6096" w:type="dxa"/>
          </w:tcPr>
          <w:p w14:paraId="0D341937" w14:textId="77777777" w:rsidR="00446EA2" w:rsidRDefault="00446EA2" w:rsidP="008B078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Coaches</w:t>
            </w:r>
            <w:r w:rsidR="00D55460" w:rsidRPr="00EA3B7E">
              <w:rPr>
                <w:rFonts w:asciiTheme="minorHAnsi" w:hAnsiTheme="minorHAnsi" w:cstheme="minorHAnsi"/>
                <w:bCs/>
              </w:rPr>
              <w:t xml:space="preserve"> can be </w:t>
            </w:r>
            <w:proofErr w:type="gramStart"/>
            <w:r w:rsidR="00D55460" w:rsidRPr="00EA3B7E">
              <w:rPr>
                <w:rFonts w:asciiTheme="minorHAnsi" w:hAnsiTheme="minorHAnsi" w:cstheme="minorHAnsi"/>
                <w:bCs/>
              </w:rPr>
              <w:t>replaced, since</w:t>
            </w:r>
            <w:proofErr w:type="gramEnd"/>
            <w:r w:rsidR="00D55460" w:rsidRPr="00EA3B7E">
              <w:rPr>
                <w:rFonts w:asciiTheme="minorHAnsi" w:hAnsiTheme="minorHAnsi" w:cstheme="minorHAnsi"/>
                <w:bCs/>
              </w:rPr>
              <w:t xml:space="preserve"> the candidacies of coaches are not </w:t>
            </w:r>
            <w:r w:rsidR="008B078A" w:rsidRPr="00EA3B7E">
              <w:rPr>
                <w:rFonts w:asciiTheme="minorHAnsi" w:hAnsiTheme="minorHAnsi" w:cstheme="minorHAnsi"/>
                <w:bCs/>
              </w:rPr>
              <w:t>specified</w:t>
            </w:r>
            <w:r w:rsidR="00D55460" w:rsidRPr="00EA3B7E">
              <w:rPr>
                <w:rFonts w:asciiTheme="minorHAnsi" w:hAnsiTheme="minorHAnsi" w:cstheme="minorHAnsi"/>
                <w:bCs/>
              </w:rPr>
              <w:t xml:space="preserve"> in the application. </w:t>
            </w:r>
          </w:p>
          <w:p w14:paraId="099D3BF6" w14:textId="3E4C3444" w:rsidR="00446EA2" w:rsidRDefault="00446EA2" w:rsidP="008B078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Your bid should con</w:t>
            </w:r>
            <w:r w:rsidR="002D3D4C">
              <w:rPr>
                <w:rFonts w:asciiTheme="minorHAnsi" w:hAnsiTheme="minorHAnsi" w:cstheme="minorHAnsi"/>
                <w:bCs/>
              </w:rPr>
              <w:t>tain</w:t>
            </w:r>
            <w:r>
              <w:rPr>
                <w:rFonts w:asciiTheme="minorHAnsi" w:hAnsiTheme="minorHAnsi" w:cstheme="minorHAnsi"/>
                <w:bCs/>
              </w:rPr>
              <w:t xml:space="preserve"> CV `s</w:t>
            </w:r>
            <w:r w:rsidR="00703403" w:rsidRPr="00EA3B7E">
              <w:rPr>
                <w:rFonts w:asciiTheme="minorHAnsi" w:hAnsiTheme="minorHAnsi" w:cstheme="minorHAnsi"/>
                <w:bCs/>
              </w:rPr>
              <w:t xml:space="preserve"> of </w:t>
            </w:r>
            <w:r w:rsidR="008B078A" w:rsidRPr="00EA3B7E">
              <w:rPr>
                <w:rFonts w:asciiTheme="minorHAnsi" w:hAnsiTheme="minorHAnsi" w:cstheme="minorHAnsi"/>
                <w:bCs/>
              </w:rPr>
              <w:t>5 people who form the project team (leader, methodologist, 3 coordinators).</w:t>
            </w:r>
          </w:p>
          <w:p w14:paraId="00BE140E" w14:textId="70EE5356" w:rsidR="00446EA2" w:rsidRDefault="00446EA2" w:rsidP="008B078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</w:t>
            </w:r>
            <w:r w:rsidR="008B078A" w:rsidRPr="00EA3B7E">
              <w:rPr>
                <w:rFonts w:asciiTheme="minorHAnsi" w:hAnsiTheme="minorHAnsi" w:cstheme="minorHAnsi"/>
                <w:bCs/>
              </w:rPr>
              <w:t xml:space="preserve">he project team </w:t>
            </w:r>
            <w:r>
              <w:rPr>
                <w:rFonts w:asciiTheme="minorHAnsi" w:hAnsiTheme="minorHAnsi" w:cstheme="minorHAnsi"/>
                <w:bCs/>
              </w:rPr>
              <w:t>personnel, in process of contract implementation might be changed on exceptional condition and upon UNDP approval.</w:t>
            </w:r>
          </w:p>
          <w:p w14:paraId="3AEA332B" w14:textId="77777777" w:rsidR="00D55460" w:rsidRPr="00EA3B7E" w:rsidRDefault="008B078A" w:rsidP="008B078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EA3B7E">
              <w:rPr>
                <w:rFonts w:asciiTheme="minorHAnsi" w:hAnsiTheme="minorHAnsi" w:cstheme="minorHAnsi"/>
                <w:bCs/>
              </w:rPr>
              <w:t xml:space="preserve">Lecturers, </w:t>
            </w:r>
            <w:proofErr w:type="gramStart"/>
            <w:r w:rsidRPr="00EA3B7E">
              <w:rPr>
                <w:rFonts w:asciiTheme="minorHAnsi" w:hAnsiTheme="minorHAnsi" w:cstheme="minorHAnsi"/>
                <w:bCs/>
              </w:rPr>
              <w:t>teachers</w:t>
            </w:r>
            <w:proofErr w:type="gramEnd"/>
            <w:r w:rsidRPr="00EA3B7E">
              <w:rPr>
                <w:rFonts w:asciiTheme="minorHAnsi" w:hAnsiTheme="minorHAnsi" w:cstheme="minorHAnsi"/>
                <w:bCs/>
              </w:rPr>
              <w:t xml:space="preserve"> and coaches can be replaced during the training process at the discretion of the project team.</w:t>
            </w:r>
          </w:p>
        </w:tc>
      </w:tr>
    </w:tbl>
    <w:p w14:paraId="03B7D6F5" w14:textId="77777777" w:rsidR="00C247C5" w:rsidRPr="00EA3B7E" w:rsidRDefault="00C247C5" w:rsidP="00C247C5">
      <w:pPr>
        <w:rPr>
          <w:rFonts w:asciiTheme="minorHAnsi" w:hAnsiTheme="minorHAnsi" w:cstheme="minorHAnsi"/>
        </w:rPr>
      </w:pPr>
    </w:p>
    <w:p w14:paraId="3EBE3405" w14:textId="77777777" w:rsidR="00C247C5" w:rsidRPr="00EA3B7E" w:rsidRDefault="00C247C5"/>
    <w:sectPr w:rsidR="00C247C5" w:rsidRPr="00EA3B7E" w:rsidSect="004077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B055E"/>
    <w:multiLevelType w:val="hybridMultilevel"/>
    <w:tmpl w:val="38FED986"/>
    <w:lvl w:ilvl="0" w:tplc="8F808DB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C5"/>
    <w:rsid w:val="000144B2"/>
    <w:rsid w:val="002665B8"/>
    <w:rsid w:val="002D3D4C"/>
    <w:rsid w:val="003E04B7"/>
    <w:rsid w:val="00407770"/>
    <w:rsid w:val="00446EA2"/>
    <w:rsid w:val="00523AC1"/>
    <w:rsid w:val="00703403"/>
    <w:rsid w:val="00723695"/>
    <w:rsid w:val="008B078A"/>
    <w:rsid w:val="00B8756C"/>
    <w:rsid w:val="00C247C5"/>
    <w:rsid w:val="00CC2D7E"/>
    <w:rsid w:val="00CF71EB"/>
    <w:rsid w:val="00D55460"/>
    <w:rsid w:val="00D741A3"/>
    <w:rsid w:val="00EA3B7E"/>
    <w:rsid w:val="00EE5956"/>
    <w:rsid w:val="00FE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32AB"/>
  <w15:chartTrackingRefBased/>
  <w15:docId w15:val="{2D924803-FCF7-1745-A095-123B921A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7C5"/>
    <w:pPr>
      <w:spacing w:after="160" w:line="259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247C5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C247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95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3437607112F42870EDD852193489D" ma:contentTypeVersion="13" ma:contentTypeDescription="Create a new document." ma:contentTypeScope="" ma:versionID="ee3a29a026e43311afd443c60447365a">
  <xsd:schema xmlns:xsd="http://www.w3.org/2001/XMLSchema" xmlns:xs="http://www.w3.org/2001/XMLSchema" xmlns:p="http://schemas.microsoft.com/office/2006/metadata/properties" xmlns:ns2="524eb5c0-3c09-43c8-b754-29abf29514bd" xmlns:ns3="de812a5f-bfa4-46df-8181-29f89ccdd104" targetNamespace="http://schemas.microsoft.com/office/2006/metadata/properties" ma:root="true" ma:fieldsID="d97d02b62c25687495317b1160e40e79" ns2:_="" ns3:_="">
    <xsd:import namespace="524eb5c0-3c09-43c8-b754-29abf29514bd"/>
    <xsd:import namespace="de812a5f-bfa4-46df-8181-29f89ccdd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eb5c0-3c09-43c8-b754-29abf2951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12a5f-bfa4-46df-8181-29f89ccdd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12a5f-bfa4-46df-8181-29f89ccdd104">
      <UserInfo>
        <DisplayName>Vladlen Sysun</DisplayName>
        <AccountId>11</AccountId>
        <AccountType/>
      </UserInfo>
      <UserInfo>
        <DisplayName>Olha Khomenko</DisplayName>
        <AccountId>16</AccountId>
        <AccountType/>
      </UserInfo>
      <UserInfo>
        <DisplayName>Iryna Gerasymenko</DisplayName>
        <AccountId>21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DDB6E29-28FF-478F-B681-F7F66C33D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30694-641B-4495-B88F-4030D56EF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4eb5c0-3c09-43c8-b754-29abf29514bd"/>
    <ds:schemaRef ds:uri="de812a5f-bfa4-46df-8181-29f89ccdd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C3FB5-633C-459F-8A47-EFA544ECDD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0D510E-42B3-4015-86DE-B4138689C18E}">
  <ds:schemaRefs>
    <ds:schemaRef ds:uri="http://schemas.microsoft.com/office/2006/metadata/properties"/>
    <ds:schemaRef ds:uri="http://schemas.microsoft.com/office/infopath/2007/PartnerControls"/>
    <ds:schemaRef ds:uri="de812a5f-bfa4-46df-8181-29f89ccdd1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Василівна Данілова</dc:creator>
  <cp:keywords/>
  <dc:description/>
  <cp:lastModifiedBy>Ivan Borysov</cp:lastModifiedBy>
  <cp:revision>18</cp:revision>
  <dcterms:created xsi:type="dcterms:W3CDTF">2021-07-15T14:31:00Z</dcterms:created>
  <dcterms:modified xsi:type="dcterms:W3CDTF">2021-07-18T14:20:00Z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0x0101006C33437607112F42870EDD852193489D</vt:lpwstr>
  </property>
</Properties>
</file>