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[</w:t>
      </w:r>
      <w:r w:rsidDel="00000000" w:rsidR="00000000" w:rsidRPr="00000000">
        <w:rPr>
          <w:rtl w:val="0"/>
        </w:rPr>
        <w:t xml:space="preserve">ITB/2021/22640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-1440"/>
          <w:tab w:val="left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-1440"/>
          <w:tab w:val="left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vertAlign w:val="baseline"/>
          <w:rtl w:val="0"/>
        </w:rPr>
        <w:t xml:space="preserve">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vertAlign w:val="baseline"/>
          <w:rtl w:val="0"/>
        </w:rPr>
        <w:t xml:space="preserve">[</w:t>
      </w: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Long term Agreement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vertAlign w:val="baseline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The sample </w:t>
      </w:r>
      <w:r w:rsidDel="00000000" w:rsidR="00000000" w:rsidRPr="00000000">
        <w:rPr>
          <w:rtl w:val="0"/>
        </w:rPr>
        <w:t xml:space="preserve">[Long Term Agreement] template is included in this ITB by this reference and is attached as a separate Pdf document.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96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969"/>
      <w:tblGridChange w:id="0">
        <w:tblGrid>
          <w:gridCol w:w="9969"/>
        </w:tblGrid>
      </w:tblGridChange>
    </w:tblGrid>
    <w:tr>
      <w:tc>
        <w:tcPr/>
        <w:p w:rsidR="00000000" w:rsidDel="00000000" w:rsidP="00000000" w:rsidRDefault="00000000" w:rsidRPr="00000000" w14:paraId="0000001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1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c>
              <w:tcPr/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320"/>
                    <w:tab w:val="right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eSourcing v2017.1</w:t>
                </w:r>
                <w:r w:rsidDel="00000000" w:rsidR="00000000" w:rsidRPr="00000000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-23494</wp:posOffset>
                      </wp:positionH>
                      <wp:positionV relativeFrom="paragraph">
                        <wp:posOffset>-12699</wp:posOffset>
                      </wp:positionV>
                      <wp:extent cx="1477645" cy="215900"/>
                      <wp:effectExtent b="0" l="0" r="0" t="0"/>
                      <wp:wrapNone/>
                      <wp:docPr id="2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77645" cy="2159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J4RVgtJr+f7vQ74YzrXJoW1lYQ==">AMUW2mVVUEv0WeRb+vio+FS1hkMFQ5kItzO5swSQ53BOx0JCbPBn08NJoieK8YKh9uxSzu8OyQcELDbnOcBskM2C9sMFU6bLUkc2qE0gUEWSOA2WqllVLEQ=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