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 </w:t>
      </w:r>
      <w:r w:rsidDel="00000000" w:rsidR="00000000" w:rsidRPr="00000000">
        <w:rPr>
          <w:b w:val="1"/>
          <w:color w:val="0092d1"/>
          <w:sz w:val="28"/>
          <w:szCs w:val="28"/>
          <w:rtl w:val="0"/>
        </w:rPr>
        <w:t xml:space="preserve">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BIDDER FINANCIAL CAPACITY COVER PAGE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ITB/2021/</w:t>
      </w:r>
      <w:r w:rsidDel="00000000" w:rsidR="00000000" w:rsidRPr="00000000">
        <w:rPr>
          <w:b w:val="1"/>
          <w:rtl w:val="0"/>
        </w:rPr>
        <w:t xml:space="preserve">21389</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Bidders shall fill in this Financial Capacity Cover Page in accordance with the instructions indicated.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Financial Statements for the past three (3) years with the present cover indicating Liquidity/ Quick Ratio.  (Audited Financial Statements for 2017, 2018 and 2019 (in lieu of 2018, 2019 and 2020) are acceptable in case the Financial Statements for 2020 are not yet finalized) must be attached.</w:t>
      </w:r>
    </w:p>
    <w:p w:rsidR="00000000" w:rsidDel="00000000" w:rsidP="00000000" w:rsidRDefault="00000000" w:rsidRPr="00000000" w14:paraId="00000009">
      <w:pPr>
        <w:rPr/>
      </w:pPr>
      <w:r w:rsidDel="00000000" w:rsidR="00000000" w:rsidRPr="00000000">
        <w:rPr>
          <w:rtl w:val="0"/>
        </w:rPr>
      </w:r>
    </w:p>
    <w:tbl>
      <w:tblPr>
        <w:tblStyle w:val="Table1"/>
        <w:tblW w:w="9705.0" w:type="dxa"/>
        <w:jc w:val="left"/>
        <w:tblInd w:w="0.0" w:type="dxa"/>
        <w:tblLayout w:type="fixed"/>
        <w:tblLook w:val="0400"/>
      </w:tblPr>
      <w:tblGrid>
        <w:gridCol w:w="2565"/>
        <w:gridCol w:w="2265"/>
        <w:gridCol w:w="1800"/>
        <w:gridCol w:w="825"/>
        <w:gridCol w:w="2250"/>
        <w:tblGridChange w:id="0">
          <w:tblGrid>
            <w:gridCol w:w="2565"/>
            <w:gridCol w:w="2265"/>
            <w:gridCol w:w="1800"/>
            <w:gridCol w:w="825"/>
            <w:gridCol w:w="2250"/>
          </w:tblGrid>
        </w:tblGridChange>
      </w:tblGrid>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A">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 FINANCIAL CAPACITY COVER PAGE</w:t>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ANNUAL TURNOVER (LAST 3 YEARS)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 IN USD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Remark</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 1  (2018 OR 2017)</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 2  (201</w:t>
            </w:r>
            <w:r w:rsidDel="00000000" w:rsidR="00000000" w:rsidRPr="00000000">
              <w:rPr>
                <w:rFonts w:ascii="Calibri" w:cs="Calibri" w:eastAsia="Calibri" w:hAnsi="Calibri"/>
                <w:sz w:val="22"/>
                <w:szCs w:val="22"/>
                <w:rtl w:val="0"/>
              </w:rPr>
              <w:t xml:space="preserve">9</w:t>
            </w:r>
            <w:r w:rsidDel="00000000" w:rsidR="00000000" w:rsidRPr="00000000">
              <w:rPr>
                <w:rFonts w:ascii="Calibri" w:cs="Calibri" w:eastAsia="Calibri" w:hAnsi="Calibri"/>
                <w:color w:val="000000"/>
                <w:sz w:val="22"/>
                <w:szCs w:val="22"/>
                <w:rtl w:val="0"/>
              </w:rPr>
              <w:t xml:space="preserve"> OR 201</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 3  (20</w:t>
            </w:r>
            <w:r w:rsidDel="00000000" w:rsidR="00000000" w:rsidRPr="00000000">
              <w:rPr>
                <w:rFonts w:ascii="Calibri" w:cs="Calibri" w:eastAsia="Calibri" w:hAnsi="Calibri"/>
                <w:sz w:val="22"/>
                <w:szCs w:val="22"/>
                <w:rtl w:val="0"/>
              </w:rPr>
              <w:t xml:space="preserve">20</w:t>
            </w:r>
            <w:r w:rsidDel="00000000" w:rsidR="00000000" w:rsidRPr="00000000">
              <w:rPr>
                <w:rFonts w:ascii="Calibri" w:cs="Calibri" w:eastAsia="Calibri" w:hAnsi="Calibri"/>
                <w:color w:val="000000"/>
                <w:sz w:val="22"/>
                <w:szCs w:val="22"/>
                <w:rtl w:val="0"/>
              </w:rPr>
              <w:t xml:space="preserve"> OR 20</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color w:val="000000"/>
                <w:sz w:val="22"/>
                <w:szCs w:val="22"/>
                <w:rtl w:val="0"/>
              </w:rPr>
              <w:t xml:space="preserve">)</w:t>
            </w:r>
          </w:p>
        </w:tc>
        <w:tc>
          <w:tcPr>
            <w:gridSpan w:val="3"/>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trHeight w:val="300"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8">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A">
            <w:pPr>
              <w:jc w:val="cente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tc>
      </w:tr>
      <w:tr>
        <w:trPr>
          <w:trHeight w:val="300" w:hRule="atLeast"/>
        </w:trPr>
        <w:tc>
          <w:tcPr>
            <w:gridSpan w:val="5"/>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2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LIQUIDITY RATIOS (LAST 3 YEARS)</w:t>
            </w:r>
          </w:p>
        </w:tc>
      </w:tr>
      <w:tr>
        <w:trPr>
          <w:trHeight w:val="300" w:hRule="atLeast"/>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ITEM</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 IN USD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RATIO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Remark</w:t>
            </w:r>
          </w:p>
        </w:tc>
      </w:tr>
      <w:tr>
        <w:trPr>
          <w:trHeight w:val="30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 1 (2018 OR 201</w:t>
            </w:r>
            <w:r w:rsidDel="00000000" w:rsidR="00000000" w:rsidRPr="00000000">
              <w:rPr>
                <w:rFonts w:ascii="Calibri" w:cs="Calibri" w:eastAsia="Calibri" w:hAnsi="Calibri"/>
                <w:sz w:val="22"/>
                <w:szCs w:val="22"/>
                <w:rtl w:val="0"/>
              </w:rPr>
              <w:t xml:space="preserve">7</w:t>
            </w:r>
            <w:r w:rsidDel="00000000" w:rsidR="00000000" w:rsidRPr="00000000">
              <w:rPr>
                <w:rFonts w:ascii="Calibri" w:cs="Calibri" w:eastAsia="Calibri" w:hAnsi="Calibri"/>
                <w:color w:val="000000"/>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ASSETS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rPr>
                <w:rFonts w:ascii="Calibri" w:cs="Calibri" w:eastAsia="Calibri" w:hAnsi="Calibri"/>
                <w:color w:val="000000"/>
                <w:sz w:val="22"/>
                <w:szCs w:val="22"/>
                <w:highlight w:val="cyan"/>
              </w:rPr>
            </w:pPr>
            <w:r w:rsidDel="00000000" w:rsidR="00000000" w:rsidRPr="00000000">
              <w:rPr>
                <w:rFonts w:ascii="Calibri" w:cs="Calibri" w:eastAsia="Calibri" w:hAnsi="Calibri"/>
                <w:color w:val="000000"/>
                <w:sz w:val="22"/>
                <w:szCs w:val="22"/>
                <w:highlight w:val="cyan"/>
                <w:rtl w:val="0"/>
              </w:rPr>
              <w:t xml:space="preserve">Insert relevant page number in </w:t>
            </w:r>
            <w:r w:rsidDel="00000000" w:rsidR="00000000" w:rsidRPr="00000000">
              <w:rPr>
                <w:rFonts w:ascii="Calibri" w:cs="Calibri" w:eastAsia="Calibri" w:hAnsi="Calibri"/>
                <w:sz w:val="22"/>
                <w:szCs w:val="22"/>
                <w:highlight w:val="cyan"/>
                <w:rtl w:val="0"/>
              </w:rPr>
              <w:t xml:space="preserve">Financial Statement here</w:t>
            </w:r>
            <w:r w:rsidDel="00000000" w:rsidR="00000000" w:rsidRPr="00000000">
              <w:rPr>
                <w:rtl w:val="0"/>
              </w:rPr>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LIABILITIES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r>
        <w:trPr>
          <w:trHeight w:val="30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YEAR 2 (201</w:t>
            </w:r>
            <w:r w:rsidDel="00000000" w:rsidR="00000000" w:rsidRPr="00000000">
              <w:rPr>
                <w:rFonts w:ascii="Calibri" w:cs="Calibri" w:eastAsia="Calibri" w:hAnsi="Calibri"/>
                <w:sz w:val="22"/>
                <w:szCs w:val="22"/>
                <w:rtl w:val="0"/>
              </w:rPr>
              <w:t xml:space="preserve">9</w:t>
            </w:r>
            <w:r w:rsidDel="00000000" w:rsidR="00000000" w:rsidRPr="00000000">
              <w:rPr>
                <w:rFonts w:ascii="Calibri" w:cs="Calibri" w:eastAsia="Calibri" w:hAnsi="Calibri"/>
                <w:color w:val="000000"/>
                <w:sz w:val="22"/>
                <w:szCs w:val="22"/>
                <w:rtl w:val="0"/>
              </w:rPr>
              <w:t xml:space="preserve"> OR 201</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ASSETS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rPr>
                <w:rFonts w:ascii="Calibri" w:cs="Calibri" w:eastAsia="Calibri" w:hAnsi="Calibri"/>
                <w:color w:val="000000"/>
                <w:sz w:val="22"/>
                <w:szCs w:val="22"/>
                <w:highlight w:val="cyan"/>
              </w:rPr>
            </w:pPr>
            <w:r w:rsidDel="00000000" w:rsidR="00000000" w:rsidRPr="00000000">
              <w:rPr>
                <w:rFonts w:ascii="Calibri" w:cs="Calibri" w:eastAsia="Calibri" w:hAnsi="Calibri"/>
                <w:sz w:val="22"/>
                <w:szCs w:val="22"/>
                <w:highlight w:val="cyan"/>
                <w:rtl w:val="0"/>
              </w:rPr>
              <w:t xml:space="preserve">Insert relevant page number in Financial Statement here</w:t>
            </w:r>
            <w:r w:rsidDel="00000000" w:rsidR="00000000" w:rsidRPr="00000000">
              <w:rPr>
                <w:rtl w:val="0"/>
              </w:rPr>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LIABILITIES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r>
        <w:trPr>
          <w:trHeight w:val="30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jc w:val="center"/>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YEAR 3 (20</w:t>
            </w:r>
            <w:r w:rsidDel="00000000" w:rsidR="00000000" w:rsidRPr="00000000">
              <w:rPr>
                <w:rFonts w:ascii="Calibri" w:cs="Calibri" w:eastAsia="Calibri" w:hAnsi="Calibri"/>
                <w:sz w:val="22"/>
                <w:szCs w:val="22"/>
                <w:rtl w:val="0"/>
              </w:rPr>
              <w:t xml:space="preserve">20</w:t>
            </w:r>
            <w:r w:rsidDel="00000000" w:rsidR="00000000" w:rsidRPr="00000000">
              <w:rPr>
                <w:rFonts w:ascii="Calibri" w:cs="Calibri" w:eastAsia="Calibri" w:hAnsi="Calibri"/>
                <w:color w:val="000000"/>
                <w:sz w:val="22"/>
                <w:szCs w:val="22"/>
                <w:rtl w:val="0"/>
              </w:rPr>
              <w:t xml:space="preserve"> OR 201</w:t>
            </w:r>
            <w:r w:rsidDel="00000000" w:rsidR="00000000" w:rsidRPr="00000000">
              <w:rPr>
                <w:rFonts w:ascii="Calibri" w:cs="Calibri" w:eastAsia="Calibri" w:hAnsi="Calibri"/>
                <w:sz w:val="22"/>
                <w:szCs w:val="22"/>
                <w:rtl w:val="0"/>
              </w:rPr>
              <w:t xml:space="preserve">9</w:t>
            </w:r>
            <w:r w:rsidDel="00000000" w:rsidR="00000000" w:rsidRPr="00000000">
              <w:rPr>
                <w:rFonts w:ascii="Calibri" w:cs="Calibri" w:eastAsia="Calibri" w:hAnsi="Calibri"/>
                <w:color w:val="000000"/>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ASSETS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restart"/>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rPr>
                <w:rFonts w:ascii="Calibri" w:cs="Calibri" w:eastAsia="Calibri" w:hAnsi="Calibri"/>
                <w:color w:val="000000"/>
                <w:sz w:val="22"/>
                <w:szCs w:val="22"/>
                <w:highlight w:val="cyan"/>
              </w:rPr>
            </w:pPr>
            <w:r w:rsidDel="00000000" w:rsidR="00000000" w:rsidRPr="00000000">
              <w:rPr>
                <w:rFonts w:ascii="Calibri" w:cs="Calibri" w:eastAsia="Calibri" w:hAnsi="Calibri"/>
                <w:sz w:val="22"/>
                <w:szCs w:val="22"/>
                <w:highlight w:val="cyan"/>
                <w:rtl w:val="0"/>
              </w:rPr>
              <w:t xml:space="preserve">Insert relevant page number in Financial Statement here</w:t>
            </w:r>
            <w:r w:rsidDel="00000000" w:rsidR="00000000" w:rsidRPr="00000000">
              <w:rPr>
                <w:rtl w:val="0"/>
              </w:rPr>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CURRENT LIABILITIES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B">
      <w:pPr>
        <w:tabs>
          <w:tab w:val="left" w:pos="720"/>
        </w:tabs>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096D7C"/>
    <w:pPr>
      <w:spacing w:after="0" w:line="240" w:lineRule="auto"/>
    </w:pPr>
    <w:rPr>
      <w:rFonts w:ascii="Arial" w:cs="Arial" w:eastAsia="Times New Roman" w:hAnsi="Arial"/>
      <w:sz w:val="20"/>
      <w:szCs w:val="20"/>
      <w:lang w:eastAsia="en-GB" w:val="en-GB"/>
    </w:rPr>
  </w:style>
  <w:style w:type="paragraph" w:styleId="Heading1">
    <w:name w:val="heading 1"/>
    <w:basedOn w:val="Normal"/>
    <w:next w:val="Normal"/>
    <w:link w:val="Heading1Char"/>
    <w:uiPriority w:val="9"/>
    <w:qFormat w:val="1"/>
    <w:rsid w:val="00096D7C"/>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nkNormal" w:customStyle="1">
    <w:name w:val="BankNormal"/>
    <w:basedOn w:val="Normal"/>
    <w:link w:val="BankNormalChar"/>
    <w:rsid w:val="00096D7C"/>
    <w:pPr>
      <w:spacing w:after="240"/>
    </w:pPr>
    <w:rPr>
      <w:rFonts w:ascii="Times New Roman" w:cs="Times New Roman" w:hAnsi="Times New Roman"/>
      <w:sz w:val="24"/>
      <w:lang w:eastAsia="en-US" w:val="en-US"/>
    </w:rPr>
  </w:style>
  <w:style w:type="character" w:styleId="BankNormalChar" w:customStyle="1">
    <w:name w:val="BankNormal Char"/>
    <w:basedOn w:val="DefaultParagraphFont"/>
    <w:link w:val="BankNormal"/>
    <w:rsid w:val="00096D7C"/>
    <w:rPr>
      <w:rFonts w:ascii="Times New Roman" w:cs="Times New Roman" w:eastAsia="Times New Roman" w:hAnsi="Times New Roman"/>
      <w:sz w:val="24"/>
      <w:szCs w:val="20"/>
    </w:rPr>
  </w:style>
  <w:style w:type="paragraph" w:styleId="MarginText" w:customStyle="1">
    <w:name w:val="Margin Text"/>
    <w:basedOn w:val="BodyText"/>
    <w:rsid w:val="00096D7C"/>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Heading1"/>
    <w:link w:val="HeadlineChar"/>
    <w:qFormat w:val="1"/>
    <w:rsid w:val="00096D7C"/>
    <w:pPr>
      <w:spacing w:after="120" w:before="360"/>
    </w:pPr>
    <w:rPr>
      <w:rFonts w:ascii="Arial" w:cs="Arial" w:eastAsia="Times New Roman" w:hAnsi="Arial"/>
      <w:b w:val="1"/>
      <w:bCs w:val="1"/>
      <w:color w:val="518ecb"/>
      <w:sz w:val="28"/>
      <w:szCs w:val="28"/>
    </w:rPr>
  </w:style>
  <w:style w:type="character" w:styleId="HeadlineChar" w:customStyle="1">
    <w:name w:val="Headline Char"/>
    <w:basedOn w:val="Heading1Char"/>
    <w:link w:val="Headline"/>
    <w:rsid w:val="00096D7C"/>
    <w:rPr>
      <w:rFonts w:ascii="Arial" w:cs="Arial" w:eastAsia="Times New Roman" w:hAnsi="Arial"/>
      <w:b w:val="1"/>
      <w:bCs w:val="1"/>
      <w:color w:val="518ecb"/>
      <w:sz w:val="28"/>
      <w:szCs w:val="28"/>
      <w:lang w:eastAsia="en-GB" w:val="en-GB"/>
    </w:rPr>
  </w:style>
  <w:style w:type="paragraph" w:styleId="BodyText">
    <w:name w:val="Body Text"/>
    <w:basedOn w:val="Normal"/>
    <w:link w:val="BodyTextChar"/>
    <w:uiPriority w:val="99"/>
    <w:semiHidden w:val="1"/>
    <w:unhideWhenUsed w:val="1"/>
    <w:rsid w:val="00096D7C"/>
    <w:pPr>
      <w:spacing w:after="120"/>
    </w:pPr>
  </w:style>
  <w:style w:type="character" w:styleId="BodyTextChar" w:customStyle="1">
    <w:name w:val="Body Text Char"/>
    <w:basedOn w:val="DefaultParagraphFont"/>
    <w:link w:val="BodyText"/>
    <w:uiPriority w:val="99"/>
    <w:semiHidden w:val="1"/>
    <w:rsid w:val="00096D7C"/>
    <w:rPr>
      <w:rFonts w:ascii="Arial" w:cs="Arial" w:eastAsia="Times New Roman" w:hAnsi="Arial"/>
      <w:sz w:val="20"/>
      <w:szCs w:val="20"/>
      <w:lang w:eastAsia="en-GB" w:val="en-GB"/>
    </w:rPr>
  </w:style>
  <w:style w:type="character" w:styleId="Heading1Char" w:customStyle="1">
    <w:name w:val="Heading 1 Char"/>
    <w:basedOn w:val="DefaultParagraphFont"/>
    <w:link w:val="Heading1"/>
    <w:uiPriority w:val="9"/>
    <w:rsid w:val="00096D7C"/>
    <w:rPr>
      <w:rFonts w:asciiTheme="majorHAnsi" w:cstheme="majorBidi" w:eastAsiaTheme="majorEastAsia" w:hAnsiTheme="majorHAnsi"/>
      <w:color w:val="2e74b5" w:themeColor="accent1" w:themeShade="0000BF"/>
      <w:sz w:val="32"/>
      <w:szCs w:val="32"/>
      <w:lang w:eastAsia="en-GB"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rL5nnwnAMg032JaXBtWFQUmWpQ==">AMUW2mXJtJnBza9pDrzwwRtpxyjlptDLWK9MCAI7OVih2luBAyIrFc9v1FPH2z3NoEFDzAN4yuAws8hY9TBG/sWJ67VLJrsmRfHgexAkKz/Bwjr+sRVsPsWIBWK7gfggheJdswCzrkNc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2020-02-18T07:09:00Z</dcterms:created>
  <dc:creator>Boureima TIMBO</dc:creator>
</cp:coreProperties>
</file>