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b w:val="1"/>
          <w:color w:val="0092d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Section II: Schedule of Requirements 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b w:val="1"/>
          <w:color w:val="000000"/>
          <w:highlight w:val="green"/>
        </w:rPr>
      </w:pPr>
      <w:r w:rsidDel="00000000" w:rsidR="00000000" w:rsidRPr="00000000">
        <w:rPr>
          <w:b w:val="1"/>
          <w:color w:val="000000"/>
          <w:rtl w:val="0"/>
        </w:rPr>
        <w:t xml:space="preserve">eSourcing reference: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RFQ/2021/21414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and Comparative Data Table:</w:t>
      </w:r>
    </w:p>
    <w:p w:rsidR="00000000" w:rsidDel="00000000" w:rsidP="00000000" w:rsidRDefault="00000000" w:rsidRPr="00000000" w14:paraId="00000004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5.0" w:type="dxa"/>
        <w:jc w:val="left"/>
        <w:tblInd w:w="-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60"/>
        <w:gridCol w:w="4095"/>
        <w:gridCol w:w="765"/>
        <w:gridCol w:w="1710"/>
        <w:gridCol w:w="2505"/>
        <w:tblGridChange w:id="0">
          <w:tblGrid>
            <w:gridCol w:w="660"/>
            <w:gridCol w:w="4095"/>
            <w:gridCol w:w="765"/>
            <w:gridCol w:w="1710"/>
            <w:gridCol w:w="2505"/>
          </w:tblGrid>
        </w:tblGridChange>
      </w:tblGrid>
      <w:tr>
        <w:trPr>
          <w:trHeight w:val="499" w:hRule="atLeast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Item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minimum technical requirements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bid compliant? 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of goods offered. Bidder to complete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Outdoor Playground Size 1 (Medium Size) with the following specifications: </w:t>
            </w:r>
          </w:p>
        </w:tc>
        <w:tc>
          <w:tcPr>
            <w:vMerge w:val="restart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1.a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Material: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Plastic Parts: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Linear low density Polyethylene (LLDPE)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6mm minimum wall thickness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UV stabilized pigments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Anti – static inhibitors- non- toxic lead free paint.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1.b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Metal Parts: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Black carbon steel pipes (various sizes 1” to 3”), internal thickness (1.8mm to 3mm)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Pre-treatment wash primer or sandblasting to remove all rust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Powder coat finish (see below)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1.c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Deck &amp; Stair case: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Color powder coating or PVC coating.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 gauge (1.8 to 2mm) HR steel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CNC Perforated surface – 12.5mm diameter perforations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Pre-treatment wash primer or sandblasting to remove all rust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Anti-slip polyurethane paint finish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1.d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Component: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Grove Single slide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Platforms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Roof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Stairs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Tunnel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Different Climbers: Rock or Horizontal Leader or Net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Crawl Tubes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Suspension Bridge with Chains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Height: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Between 3 – 3.5 meter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1.f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Capacity: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35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Student (Age Group from 4- 12 Year)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1.g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Colours: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supplier shall present options for available colours of the apparatus; so that the designer may choose from.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1.h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Warranty: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Lifetime against structural failure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 years on materials and workmanship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1.i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Installation: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supplier shall execute the foundations of the apparatus and provide materials &amp; labor, as per the weight and size of the unit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200" w:before="200"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Outdoor Playground Size 2 (Small Size) with the following specifications: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2.a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Material: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Plastic Parts: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Linear low density Polyethylene (LLDPE)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6mm minimum wall thickness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UV stabilized pigments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Anti – static inhibitors- non- toxic lead free paint.</w:t>
            </w:r>
          </w:p>
        </w:tc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2.b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Metal Parts:</w:t>
            </w:r>
          </w:p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Black carbon steel pipes (various sizes 1” to 3”), internal thickness (1.8mm to 3mm)</w:t>
            </w:r>
          </w:p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Pre-treatment wash primer or sandblasting to remove all rust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Powder coat finish (see below)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2.c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Deck &amp; Stair case: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Color powder coating or PVC coating.</w:t>
            </w:r>
          </w:p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 gauge (1.8 to 2mm) HR steel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CNC Perforated surface – 12.5mm diameter perforations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Pre-treatment wash primer or sandblasting to remove all rust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Anti-slip polyurethane paint finish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2.d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Component:</w:t>
            </w:r>
          </w:p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Grove Single slide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Platforms</w:t>
            </w:r>
          </w:p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Roof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Stairs</w:t>
            </w:r>
          </w:p>
          <w:p w:rsidR="00000000" w:rsidDel="00000000" w:rsidP="00000000" w:rsidRDefault="00000000" w:rsidRPr="00000000" w14:paraId="0000007F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Tunnel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Climbers: Rock or Horizontal Leader or Net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Crawl Tubes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Height: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Between 3 – 3.5 meter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2.f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Capacity: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25 Student (Age Group from 4- 12 Year)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2.g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Colours:</w:t>
            </w:r>
          </w:p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supplier shall present options for available colours of the apparatus; so that the designer may choose from.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2.h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Warranty:</w:t>
            </w:r>
          </w:p>
          <w:p w:rsidR="00000000" w:rsidDel="00000000" w:rsidP="00000000" w:rsidRDefault="00000000" w:rsidRPr="00000000" w14:paraId="00000099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Lifetime against structural failure</w:t>
            </w:r>
          </w:p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 years on materials and workmanship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2.i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Installation:</w:t>
            </w:r>
          </w:p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supplier shall execute the foundations of the apparatus and provide materials &amp; labor, as per the weight and size of the unit</w:t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☐ Yes ☐ No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25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spacing w:line="276" w:lineRule="auto"/>
              <w:rPr>
                <w:color w:val="222222"/>
                <w:sz w:val="18"/>
                <w:szCs w:val="18"/>
              </w:rPr>
            </w:pPr>
            <w:r w:rsidDel="00000000" w:rsidR="00000000" w:rsidRPr="00000000">
              <w:rPr>
                <w:color w:val="222222"/>
                <w:sz w:val="18"/>
                <w:szCs w:val="18"/>
              </w:rPr>
              <w:drawing>
                <wp:inline distB="114300" distT="114300" distL="114300" distR="114300">
                  <wp:extent cx="1866900" cy="1397000"/>
                  <wp:effectExtent b="0" l="0" r="0" t="0"/>
                  <wp:docPr id="12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39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The picture is for indicative purpose only</w:t>
            </w:r>
          </w:p>
        </w:tc>
      </w:tr>
    </w:tbl>
    <w:p w:rsidR="00000000" w:rsidDel="00000000" w:rsidP="00000000" w:rsidRDefault="00000000" w:rsidRPr="00000000" w14:paraId="000000AA">
      <w:pPr>
        <w:ind w:left="720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Delivery requirements and </w:t>
      </w:r>
      <w:r w:rsidDel="00000000" w:rsidR="00000000" w:rsidRPr="00000000">
        <w:rPr>
          <w:b w:val="1"/>
          <w:color w:val="000000"/>
          <w:rtl w:val="0"/>
        </w:rPr>
        <w:t xml:space="preserve">Comparative Data Table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81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2"/>
        <w:gridCol w:w="3118"/>
        <w:gridCol w:w="2126"/>
        <w:gridCol w:w="2835"/>
        <w:tblGridChange w:id="0">
          <w:tblGrid>
            <w:gridCol w:w="1702"/>
            <w:gridCol w:w="3118"/>
            <w:gridCol w:w="2126"/>
            <w:gridCol w:w="2835"/>
          </w:tblGrid>
        </w:tblGridChange>
      </w:tblGrid>
      <w:tr>
        <w:trPr>
          <w:trHeight w:val="306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goods </w:t>
            </w:r>
          </w:p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8-10 weeks after Contract signature.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DAP- as per the distribution list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TBC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 the time the Contract is awarded, UNOPS reserves the right to vary the quantity of the goods and associated services specified above, provided this does not exceed +/- [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0%] , without any change in the unit prices or other terms and conditions of the RFQ.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720"/>
          <w:tab w:val="left" w:pos="0"/>
          <w:tab w:val="left" w:pos="720"/>
          <w:tab w:val="right" w:pos="8640"/>
        </w:tabs>
        <w:ind w:left="284" w:firstLine="0"/>
        <w:rPr>
          <w:rFonts w:ascii="Times New Roman" w:cs="Times New Roman" w:eastAsia="Times New Roman" w:hAnsi="Times New Roman"/>
          <w:b w:val="1"/>
          <w:color w:val="ffffff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720"/>
          <w:tab w:val="left" w:pos="0"/>
          <w:tab w:val="left" w:pos="720"/>
          <w:tab w:val="right" w:pos="8640"/>
        </w:tabs>
        <w:ind w:left="284" w:firstLine="0"/>
        <w:rPr>
          <w:rFonts w:ascii="Times New Roman" w:cs="Times New Roman" w:eastAsia="Times New Roman" w:hAnsi="Times New Roman"/>
          <w:b w:val="1"/>
          <w:color w:val="fffff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3"/>
          <w:szCs w:val="23"/>
          <w:rtl w:val="0"/>
        </w:rPr>
        <w:t xml:space="preserve">Notes</w:t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720"/>
          <w:tab w:val="left" w:pos="0"/>
          <w:tab w:val="left" w:pos="720"/>
          <w:tab w:val="right" w:pos="8640"/>
        </w:tabs>
        <w:ind w:left="284" w:firstLine="0"/>
        <w:rPr>
          <w:rFonts w:ascii="Times New Roman" w:cs="Times New Roman" w:eastAsia="Times New Roman" w:hAnsi="Times New Roman"/>
          <w:b w:val="1"/>
          <w:color w:val="ffffff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720"/>
          <w:tab w:val="left" w:pos="0"/>
          <w:tab w:val="left" w:pos="720"/>
          <w:tab w:val="right" w:pos="8640"/>
        </w:tabs>
        <w:ind w:left="284" w:firstLine="0"/>
        <w:rPr>
          <w:rFonts w:ascii="Times New Roman" w:cs="Times New Roman" w:eastAsia="Times New Roman" w:hAnsi="Times New Roman"/>
          <w:b w:val="1"/>
          <w:color w:val="ffffff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720"/>
          <w:tab w:val="left" w:pos="0"/>
          <w:tab w:val="left" w:pos="720"/>
          <w:tab w:val="right" w:pos="8640"/>
        </w:tabs>
        <w:ind w:left="0" w:firstLine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Notes:</w:t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720"/>
          <w:tab w:val="left" w:pos="0"/>
          <w:tab w:val="left" w:pos="720"/>
          <w:tab w:val="right" w:pos="8640"/>
        </w:tabs>
        <w:ind w:left="0" w:firstLine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720"/>
          <w:tab w:val="left" w:pos="0"/>
          <w:tab w:val="left" w:pos="720"/>
          <w:tab w:val="right" w:pos="8640"/>
        </w:tabs>
        <w:ind w:left="0" w:firstLine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37.570386641804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7.5703866418055"/>
        <w:gridCol w:w="4695"/>
        <w:gridCol w:w="2835"/>
        <w:gridCol w:w="1920"/>
        <w:tblGridChange w:id="0">
          <w:tblGrid>
            <w:gridCol w:w="287.5703866418055"/>
            <w:gridCol w:w="4695"/>
            <w:gridCol w:w="2835"/>
            <w:gridCol w:w="1920"/>
          </w:tblGrid>
        </w:tblGridChange>
      </w:tblGrid>
      <w:tr>
        <w:trPr>
          <w:trHeight w:val="315" w:hRule="atLeast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widowControl w:val="0"/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cc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D0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Supplier shall provide all required fixation to the playground equipment as required from the Manufacturer, and subject to the UNOPS approval.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Suggested designs (layout) shall be submitted one week later after awarding the contract.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UNOPS reserves the right to have some minor changes such as removing the roofs, changing the height or colores under the same price.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 assessment visit to the site shall be done before supplying the goods.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supplier will remain liable for the safety of apparatus and equipment until UNOPS conducts the final inspection visit. (He shall secure the equipment during the installation period).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delivery date might change and the supplier shall accommodate this change.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supplier must have a storage facility to accommodate the equipment until delivery takes place.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locations are in several governorates in Jordan not only in Amman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supplier shall provide after sale services and spare parts within a month when needed.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720"/>
          <w:tab w:val="left" w:pos="0"/>
          <w:tab w:val="left" w:pos="720"/>
          <w:tab w:val="right" w:pos="8640"/>
        </w:tabs>
        <w:ind w:left="0" w:firstLine="0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5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F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F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F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7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c>
        <w:tcPr/>
        <w:p w:rsidR="00000000" w:rsidDel="00000000" w:rsidP="00000000" w:rsidRDefault="00000000" w:rsidRPr="00000000" w14:paraId="000000F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UNOPS eSourcing v2017.1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38103</wp:posOffset>
                </wp:positionH>
                <wp:positionV relativeFrom="paragraph">
                  <wp:posOffset>0</wp:posOffset>
                </wp:positionV>
                <wp:extent cx="1477645" cy="215900"/>
                <wp:effectExtent b="0" l="0" r="0" t="0"/>
                <wp:wrapNone/>
                <wp:docPr id="10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F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d3MW3w2xN5d77jyu6/I9Y8hMeA==">AMUW2mU22B+1mCA1ts39OOkofGWUkE+8zJTCtgMheKEbuIHPFj8c6bdFQsJ/iGg+HjUn1EyqZ+SfYAzU2OPtbqBbPZ+vyxT8iYFtgp8PUItXagrdPE8Q1YnKqnAD9/SIQb/o6yvfju1akc3DlGJweBpTgUBj1T3J5lCGvhuNBJEYRFB8lxSRCofKiJniX49MHzNNuq4T9C4yXEeeeNEIcd4Qpub9J6dF3Tj7F1FJa5Cz65bEDPKWtZk=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