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9F7" w:rsidRDefault="005653C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120"/>
        <w:rPr>
          <w:b/>
          <w:color w:val="0092D1"/>
          <w:sz w:val="28"/>
          <w:szCs w:val="28"/>
        </w:rPr>
      </w:pPr>
      <w:r>
        <w:rPr>
          <w:b/>
          <w:color w:val="0092D1"/>
          <w:sz w:val="28"/>
          <w:szCs w:val="28"/>
        </w:rPr>
        <w:t>Section II: Schedule of Requirements</w:t>
      </w:r>
    </w:p>
    <w:p w:rsidR="00F069F7" w:rsidRDefault="005653C1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360" w:after="240"/>
      </w:pPr>
      <w:proofErr w:type="spellStart"/>
      <w:proofErr w:type="gramStart"/>
      <w:r>
        <w:rPr>
          <w:b/>
          <w:color w:val="000000"/>
        </w:rPr>
        <w:t>eSourcing</w:t>
      </w:r>
      <w:proofErr w:type="spellEnd"/>
      <w:proofErr w:type="gramEnd"/>
      <w:r>
        <w:rPr>
          <w:b/>
          <w:color w:val="000000"/>
        </w:rPr>
        <w:t xml:space="preserve"> reference:</w:t>
      </w:r>
      <w:r>
        <w:t xml:space="preserve"> ITB/2021/</w:t>
      </w:r>
      <w:r w:rsidR="000958DE">
        <w:t>20063</w:t>
      </w:r>
    </w:p>
    <w:p w:rsidR="00F069F7" w:rsidRDefault="00F069F7"/>
    <w:p w:rsidR="00F069F7" w:rsidRDefault="00F069F7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160" w:hanging="720"/>
        <w:rPr>
          <w:b/>
          <w:color w:val="000000"/>
        </w:rPr>
      </w:pPr>
    </w:p>
    <w:p w:rsidR="00F069F7" w:rsidRDefault="005653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 w:hanging="284"/>
        <w:rPr>
          <w:b/>
          <w:color w:val="000000"/>
        </w:rPr>
      </w:pPr>
      <w:r>
        <w:rPr>
          <w:b/>
          <w:color w:val="000000"/>
        </w:rPr>
        <w:t>Technical specifications for Goods and Comparative Data Table</w:t>
      </w:r>
    </w:p>
    <w:p w:rsidR="00F069F7" w:rsidRDefault="00F069F7"/>
    <w:p w:rsidR="00F069F7" w:rsidRDefault="00F069F7">
      <w:pPr>
        <w:rPr>
          <w:b/>
        </w:rPr>
      </w:pPr>
    </w:p>
    <w:p w:rsidR="00F069F7" w:rsidRDefault="005653C1">
      <w:pPr>
        <w:rPr>
          <w:b/>
          <w:color w:val="FF0000"/>
        </w:rPr>
      </w:pPr>
      <w:r>
        <w:rPr>
          <w:b/>
          <w:color w:val="FF0000"/>
        </w:rPr>
        <w:t xml:space="preserve">Check and fill Annex 1 </w:t>
      </w:r>
      <w:r w:rsidR="000958DE">
        <w:rPr>
          <w:b/>
          <w:color w:val="FF0000"/>
        </w:rPr>
        <w:t xml:space="preserve">to form D </w:t>
      </w:r>
      <w:r>
        <w:rPr>
          <w:b/>
          <w:color w:val="FF0000"/>
        </w:rPr>
        <w:t>(technical compliance Excel sheet), fill your company signature information, sign and stamp and return it back as PDF document</w:t>
      </w:r>
    </w:p>
    <w:p w:rsidR="00F069F7" w:rsidRDefault="00F069F7">
      <w:pPr>
        <w:rPr>
          <w:b/>
        </w:rPr>
      </w:pPr>
    </w:p>
    <w:p w:rsidR="00F069F7" w:rsidRDefault="00F069F7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rPr>
          <w:b/>
          <w:color w:val="000000"/>
        </w:rPr>
      </w:pPr>
    </w:p>
    <w:p w:rsidR="00F069F7" w:rsidRDefault="005653C1">
      <w:r>
        <w:t xml:space="preserve">Bidders must enter details of offered </w:t>
      </w:r>
      <w:r w:rsidR="000958DE">
        <w:t>services</w:t>
      </w:r>
      <w:r>
        <w:t xml:space="preserve"> into Annex I: Technical Specifications which is to be submit</w:t>
      </w:r>
      <w:r>
        <w:t xml:space="preserve">ted with the bid. </w:t>
      </w:r>
      <w:r w:rsidR="000958DE">
        <w:t>(IF applicable)</w:t>
      </w:r>
    </w:p>
    <w:p w:rsidR="00F069F7" w:rsidRDefault="00F069F7"/>
    <w:p w:rsidR="00F069F7" w:rsidRDefault="005653C1">
      <w:r>
        <w:t xml:space="preserve">Bidders must offer </w:t>
      </w:r>
      <w:proofErr w:type="gramStart"/>
      <w:r>
        <w:t>all  requested</w:t>
      </w:r>
      <w:proofErr w:type="gramEnd"/>
      <w:r>
        <w:t xml:space="preserve">  items in the ITB. Failure to quote all </w:t>
      </w:r>
      <w:proofErr w:type="gramStart"/>
      <w:r>
        <w:t>items  specified</w:t>
      </w:r>
      <w:proofErr w:type="gramEnd"/>
      <w:r>
        <w:t xml:space="preserve"> in the Annexes will result in disqualification.</w:t>
      </w:r>
    </w:p>
    <w:p w:rsidR="00F069F7" w:rsidRDefault="00F069F7"/>
    <w:p w:rsidR="00F069F7" w:rsidRDefault="005653C1">
      <w:r>
        <w:t>Bidders must provide duly compiled Annex 1, Annex 2 including all the technical and financial de</w:t>
      </w:r>
      <w:r>
        <w:t>tails of their bids.</w:t>
      </w:r>
    </w:p>
    <w:p w:rsidR="000958DE" w:rsidRDefault="000958DE">
      <w:pPr>
        <w:rPr>
          <w:b/>
          <w:color w:val="FF0000"/>
        </w:rPr>
      </w:pPr>
      <w:r w:rsidRPr="000958DE">
        <w:rPr>
          <w:b/>
          <w:color w:val="FF0000"/>
        </w:rPr>
        <w:t xml:space="preserve">Bidders to write the name of the geographical area that the will provide the garage services in it at the top of both annexes. </w:t>
      </w:r>
    </w:p>
    <w:p w:rsidR="000958DE" w:rsidRPr="000958DE" w:rsidRDefault="000958DE">
      <w:pPr>
        <w:rPr>
          <w:b/>
          <w:color w:val="FF0000"/>
        </w:rPr>
      </w:pPr>
      <w:r>
        <w:rPr>
          <w:b/>
          <w:color w:val="FF0000"/>
        </w:rPr>
        <w:t>If one bidder quoted for more than one location (areas) the same prices should be applicable for all areas he quoted for.</w:t>
      </w:r>
    </w:p>
    <w:p w:rsidR="00F069F7" w:rsidRDefault="00F069F7"/>
    <w:p w:rsidR="00F069F7" w:rsidRDefault="00F069F7"/>
    <w:p w:rsidR="00F069F7" w:rsidRDefault="005653C1">
      <w:r>
        <w:t>Bidders must include in the bid (but not limited to):</w:t>
      </w:r>
    </w:p>
    <w:p w:rsidR="00F069F7" w:rsidRDefault="000958DE">
      <w:pPr>
        <w:numPr>
          <w:ilvl w:val="0"/>
          <w:numId w:val="3"/>
        </w:numPr>
      </w:pPr>
      <w:r>
        <w:t xml:space="preserve">Company profile to show the details under the section of competencies in the TOR </w:t>
      </w:r>
    </w:p>
    <w:p w:rsidR="00F069F7" w:rsidRDefault="00F069F7"/>
    <w:p w:rsidR="00F069F7" w:rsidRDefault="005653C1">
      <w:pPr>
        <w:rPr>
          <w:b/>
        </w:rPr>
      </w:pPr>
      <w:r>
        <w:t xml:space="preserve">Delivery term:  DAP to any of UNOPS locations of operations in Kabul, </w:t>
      </w:r>
      <w:proofErr w:type="gramStart"/>
      <w:r>
        <w:t>Herat  an</w:t>
      </w:r>
      <w:r>
        <w:t>d</w:t>
      </w:r>
      <w:proofErr w:type="gramEnd"/>
      <w:r>
        <w:t xml:space="preserve"> </w:t>
      </w:r>
      <w:proofErr w:type="spellStart"/>
      <w:r>
        <w:t>Mazar</w:t>
      </w:r>
      <w:proofErr w:type="spellEnd"/>
      <w:r>
        <w:t xml:space="preserve">  for  each item should not exceed </w:t>
      </w:r>
      <w:r w:rsidR="000958DE">
        <w:t>the time indicated in the TOR</w:t>
      </w:r>
      <w:r>
        <w:t xml:space="preserve">. Any delivery time beyond </w:t>
      </w:r>
      <w:r w:rsidR="000958DE">
        <w:t>the TOR mentioned lead time</w:t>
      </w:r>
      <w:r>
        <w:t xml:space="preserve"> will lead to disqualification of the bid.</w:t>
      </w:r>
    </w:p>
    <w:p w:rsidR="00F069F7" w:rsidRDefault="00F069F7">
      <w:pPr>
        <w:tabs>
          <w:tab w:val="left" w:pos="-720"/>
          <w:tab w:val="left" w:pos="0"/>
          <w:tab w:val="left" w:pos="720"/>
          <w:tab w:val="right" w:pos="8640"/>
        </w:tabs>
        <w:ind w:left="142" w:hanging="720"/>
        <w:jc w:val="both"/>
      </w:pPr>
    </w:p>
    <w:p w:rsidR="00F069F7" w:rsidRDefault="00F069F7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</w:pPr>
    </w:p>
    <w:p w:rsidR="00F069F7" w:rsidRDefault="005653C1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</w:pPr>
      <w:r>
        <w:t>Additional instructions:</w:t>
      </w:r>
    </w:p>
    <w:p w:rsidR="00F069F7" w:rsidRDefault="005653C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</w:pPr>
      <w:r>
        <w:t>The bidder shall provide the security bid bond of USD 2000 or equivalent amount in the local currency BEFORE</w:t>
      </w:r>
      <w:r>
        <w:t xml:space="preserve"> the closure date of ITB. The bond to be provided to UNOPS procurement unit</w:t>
      </w:r>
    </w:p>
    <w:p w:rsidR="00F069F7" w:rsidRDefault="00F069F7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</w:pPr>
    </w:p>
    <w:p w:rsidR="00F069F7" w:rsidRDefault="00F069F7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rPr>
          <w:b/>
          <w:color w:val="000000"/>
        </w:rPr>
      </w:pPr>
    </w:p>
    <w:p w:rsidR="00F069F7" w:rsidRDefault="005653C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284" w:hanging="284"/>
        <w:rPr>
          <w:b/>
          <w:color w:val="000000"/>
        </w:rPr>
      </w:pPr>
      <w:r>
        <w:rPr>
          <w:b/>
          <w:color w:val="000000"/>
        </w:rPr>
        <w:t xml:space="preserve"> Inspections and tests </w:t>
      </w:r>
    </w:p>
    <w:p w:rsidR="00F069F7" w:rsidRDefault="00F069F7">
      <w:pPr>
        <w:rPr>
          <w:i/>
          <w:color w:val="000000"/>
          <w:highlight w:val="lightGray"/>
        </w:rPr>
      </w:pPr>
    </w:p>
    <w:p w:rsidR="00F069F7" w:rsidRDefault="005653C1">
      <w:pPr>
        <w:ind w:left="142"/>
        <w:rPr>
          <w:i/>
        </w:rPr>
      </w:pPr>
      <w:r>
        <w:t>The following inspections and tests shall be performed:</w:t>
      </w:r>
    </w:p>
    <w:p w:rsidR="00F069F7" w:rsidRDefault="00F069F7">
      <w:pPr>
        <w:ind w:left="142"/>
        <w:rPr>
          <w:highlight w:val="white"/>
        </w:rPr>
      </w:pPr>
    </w:p>
    <w:p w:rsidR="00F069F7" w:rsidRDefault="005653C1">
      <w:pPr>
        <w:ind w:left="142"/>
        <w:jc w:val="both"/>
        <w:rPr>
          <w:highlight w:val="white"/>
        </w:rPr>
      </w:pPr>
      <w:r>
        <w:rPr>
          <w:highlight w:val="white"/>
        </w:rPr>
        <w:t xml:space="preserve">UNOPS or its representative shall inspect and/or test any or all </w:t>
      </w:r>
      <w:r w:rsidR="000958DE">
        <w:rPr>
          <w:highlight w:val="white"/>
        </w:rPr>
        <w:t>facilities</w:t>
      </w:r>
      <w:r>
        <w:rPr>
          <w:highlight w:val="white"/>
        </w:rPr>
        <w:t xml:space="preserve"> (</w:t>
      </w:r>
      <w:r w:rsidR="000958DE">
        <w:rPr>
          <w:highlight w:val="white"/>
        </w:rPr>
        <w:t>Site</w:t>
      </w:r>
      <w:r>
        <w:rPr>
          <w:highlight w:val="white"/>
        </w:rPr>
        <w:t xml:space="preserve"> check process before award</w:t>
      </w:r>
      <w:proofErr w:type="gramStart"/>
      <w:r>
        <w:rPr>
          <w:highlight w:val="white"/>
        </w:rPr>
        <w:t>)  and</w:t>
      </w:r>
      <w:proofErr w:type="gramEnd"/>
      <w:r>
        <w:rPr>
          <w:highlight w:val="white"/>
        </w:rPr>
        <w:t xml:space="preserve"> another inspection </w:t>
      </w:r>
      <w:r>
        <w:rPr>
          <w:highlight w:val="white"/>
        </w:rPr>
        <w:t>to confirm t</w:t>
      </w:r>
      <w:r w:rsidR="000958DE">
        <w:rPr>
          <w:highlight w:val="white"/>
        </w:rPr>
        <w:t>heir conformity to the contract</w:t>
      </w:r>
      <w:r>
        <w:rPr>
          <w:highlight w:val="white"/>
        </w:rPr>
        <w:t xml:space="preserve">. Such inspection </w:t>
      </w:r>
      <w:r>
        <w:rPr>
          <w:highlight w:val="white"/>
        </w:rPr>
        <w:t xml:space="preserve">and clearance will not prejudice the right of the consignee to inspect and test the </w:t>
      </w:r>
      <w:r w:rsidR="000958DE">
        <w:rPr>
          <w:highlight w:val="white"/>
        </w:rPr>
        <w:t>garage service location</w:t>
      </w:r>
      <w:r>
        <w:rPr>
          <w:highlight w:val="white"/>
        </w:rPr>
        <w:t>.</w:t>
      </w:r>
    </w:p>
    <w:p w:rsidR="00F069F7" w:rsidRDefault="00F069F7">
      <w:pPr>
        <w:ind w:left="142"/>
        <w:jc w:val="both"/>
        <w:rPr>
          <w:highlight w:val="white"/>
        </w:rPr>
      </w:pPr>
    </w:p>
    <w:p w:rsidR="00F069F7" w:rsidRDefault="005653C1">
      <w:pPr>
        <w:pStyle w:val="Subtitle"/>
        <w:tabs>
          <w:tab w:val="left" w:pos="-1440"/>
          <w:tab w:val="left" w:pos="7200"/>
          <w:tab w:val="left" w:pos="-1440"/>
          <w:tab w:val="left" w:pos="7200"/>
          <w:tab w:val="left" w:pos="-1440"/>
          <w:tab w:val="left" w:pos="7200"/>
          <w:tab w:val="left" w:pos="-1440"/>
          <w:tab w:val="left" w:pos="7200"/>
        </w:tabs>
        <w:ind w:left="142"/>
        <w:jc w:val="both"/>
        <w:rPr>
          <w:rFonts w:ascii="Arial" w:eastAsia="Arial" w:hAnsi="Arial" w:cs="Arial"/>
          <w:b w:val="0"/>
          <w:sz w:val="20"/>
          <w:szCs w:val="20"/>
          <w:highlight w:val="white"/>
        </w:rPr>
      </w:pPr>
      <w:r>
        <w:rPr>
          <w:rFonts w:ascii="Arial" w:eastAsia="Arial" w:hAnsi="Arial" w:cs="Arial"/>
          <w:b w:val="0"/>
          <w:sz w:val="20"/>
          <w:szCs w:val="20"/>
          <w:highlight w:val="white"/>
        </w:rPr>
        <w:t xml:space="preserve">If the </w:t>
      </w:r>
      <w:r w:rsidR="000958DE">
        <w:rPr>
          <w:rFonts w:ascii="Arial" w:eastAsia="Arial" w:hAnsi="Arial" w:cs="Arial"/>
          <w:b w:val="0"/>
          <w:sz w:val="20"/>
          <w:szCs w:val="20"/>
          <w:highlight w:val="white"/>
        </w:rPr>
        <w:t xml:space="preserve">spare </w:t>
      </w:r>
      <w:bookmarkStart w:id="0" w:name="_GoBack"/>
      <w:bookmarkEnd w:id="0"/>
      <w:r w:rsidR="000958DE">
        <w:rPr>
          <w:rFonts w:ascii="Arial" w:eastAsia="Arial" w:hAnsi="Arial" w:cs="Arial"/>
          <w:b w:val="0"/>
          <w:sz w:val="20"/>
          <w:szCs w:val="20"/>
          <w:highlight w:val="white"/>
        </w:rPr>
        <w:t>parts</w:t>
      </w:r>
      <w:r>
        <w:rPr>
          <w:rFonts w:ascii="Arial" w:eastAsia="Arial" w:hAnsi="Arial" w:cs="Arial"/>
          <w:b w:val="0"/>
          <w:sz w:val="20"/>
          <w:szCs w:val="20"/>
          <w:highlight w:val="white"/>
        </w:rPr>
        <w:t xml:space="preserve"> fail to meet the laid down specifications, the supplier shall take immediate steps to remedy the deficiency or replace the de</w:t>
      </w:r>
      <w:r>
        <w:rPr>
          <w:rFonts w:ascii="Arial" w:eastAsia="Arial" w:hAnsi="Arial" w:cs="Arial"/>
          <w:b w:val="0"/>
          <w:sz w:val="20"/>
          <w:szCs w:val="20"/>
          <w:highlight w:val="white"/>
        </w:rPr>
        <w:t>fective goods to the satisfaction of the purchaser.</w:t>
      </w:r>
    </w:p>
    <w:p w:rsidR="00F069F7" w:rsidRDefault="00F069F7">
      <w:pPr>
        <w:tabs>
          <w:tab w:val="left" w:pos="-1440"/>
          <w:tab w:val="left" w:pos="7200"/>
          <w:tab w:val="left" w:pos="-1440"/>
          <w:tab w:val="left" w:pos="7200"/>
        </w:tabs>
      </w:pPr>
    </w:p>
    <w:p w:rsidR="00F069F7" w:rsidRDefault="00F069F7">
      <w:pPr>
        <w:tabs>
          <w:tab w:val="left" w:pos="-1440"/>
          <w:tab w:val="left" w:pos="7200"/>
          <w:tab w:val="left" w:pos="-1440"/>
          <w:tab w:val="left" w:pos="7200"/>
        </w:tabs>
      </w:pPr>
    </w:p>
    <w:p w:rsidR="00F069F7" w:rsidRDefault="005653C1">
      <w:pPr>
        <w:tabs>
          <w:tab w:val="left" w:pos="-1440"/>
          <w:tab w:val="left" w:pos="7200"/>
          <w:tab w:val="left" w:pos="-1440"/>
          <w:tab w:val="left" w:pos="7200"/>
        </w:tabs>
      </w:pPr>
      <w:r>
        <w:t xml:space="preserve">   Please sign and stamp this document to indicate that you comply with the above instructions</w:t>
      </w:r>
    </w:p>
    <w:p w:rsidR="00F069F7" w:rsidRDefault="005653C1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rPr>
          <w:b/>
          <w:color w:val="000000"/>
        </w:rPr>
      </w:pPr>
      <w:r>
        <w:rPr>
          <w:b/>
        </w:rPr>
        <w:t xml:space="preserve"> </w:t>
      </w:r>
    </w:p>
    <w:p w:rsidR="00F069F7" w:rsidRDefault="00F069F7">
      <w:pPr>
        <w:pBdr>
          <w:top w:val="nil"/>
          <w:left w:val="nil"/>
          <w:bottom w:val="nil"/>
          <w:right w:val="nil"/>
          <w:between w:val="nil"/>
        </w:pBdr>
        <w:tabs>
          <w:tab w:val="left" w:pos="-720"/>
          <w:tab w:val="left" w:pos="0"/>
          <w:tab w:val="left" w:pos="720"/>
          <w:tab w:val="right" w:pos="8640"/>
        </w:tabs>
        <w:ind w:left="1440"/>
        <w:rPr>
          <w:b/>
          <w:color w:val="000000"/>
        </w:rPr>
      </w:pPr>
    </w:p>
    <w:p w:rsidR="00F069F7" w:rsidRDefault="00F069F7">
      <w:pPr>
        <w:rPr>
          <w:b/>
          <w:color w:val="518ECB"/>
          <w:sz w:val="28"/>
          <w:szCs w:val="28"/>
        </w:rPr>
      </w:pPr>
    </w:p>
    <w:p w:rsidR="00F069F7" w:rsidRDefault="00F069F7"/>
    <w:sectPr w:rsidR="00F069F7">
      <w:headerReference w:type="default" r:id="rId8"/>
      <w:footerReference w:type="default" r:id="rId9"/>
      <w:pgSz w:w="11907" w:h="16839"/>
      <w:pgMar w:top="1440" w:right="1077" w:bottom="1440" w:left="1077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3C1" w:rsidRDefault="005653C1">
      <w:r>
        <w:separator/>
      </w:r>
    </w:p>
  </w:endnote>
  <w:endnote w:type="continuationSeparator" w:id="0">
    <w:p w:rsidR="005653C1" w:rsidRDefault="0056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9F7" w:rsidRDefault="00F069F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8"/>
      <w:tblW w:w="9889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96"/>
      <w:gridCol w:w="5293"/>
    </w:tblGrid>
    <w:tr w:rsidR="00F069F7">
      <w:tc>
        <w:tcPr>
          <w:tcW w:w="4596" w:type="dxa"/>
        </w:tcPr>
        <w:p w:rsidR="00F069F7" w:rsidRDefault="00F069F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Arial" w:eastAsia="Arial" w:hAnsi="Arial" w:cs="Arial"/>
              <w:color w:val="000000"/>
              <w:sz w:val="18"/>
              <w:szCs w:val="18"/>
            </w:rPr>
          </w:pPr>
        </w:p>
      </w:tc>
      <w:tc>
        <w:tcPr>
          <w:tcW w:w="5293" w:type="dxa"/>
        </w:tcPr>
        <w:p w:rsidR="00F069F7" w:rsidRDefault="005653C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18"/>
              <w:szCs w:val="18"/>
            </w:rPr>
            <w:instrText>PAGE</w:instrText>
          </w:r>
          <w:r w:rsidR="000958DE">
            <w:rPr>
              <w:color w:val="000000"/>
              <w:sz w:val="18"/>
              <w:szCs w:val="18"/>
            </w:rPr>
            <w:fldChar w:fldCharType="separate"/>
          </w:r>
          <w:r w:rsidR="000958DE">
            <w:rPr>
              <w:rFonts w:ascii="Arial" w:eastAsia="Arial" w:hAnsi="Arial" w:cs="Arial"/>
              <w:noProof/>
              <w:color w:val="000000"/>
              <w:sz w:val="18"/>
              <w:szCs w:val="18"/>
            </w:rPr>
            <w:t>1</w:t>
          </w:r>
          <w:r>
            <w:rPr>
              <w:color w:val="000000"/>
              <w:sz w:val="18"/>
              <w:szCs w:val="18"/>
            </w:rPr>
            <w:fldChar w:fldCharType="end"/>
          </w:r>
        </w:p>
      </w:tc>
    </w:tr>
  </w:tbl>
  <w:p w:rsidR="00F069F7" w:rsidRDefault="00F069F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3C1" w:rsidRDefault="005653C1">
      <w:r>
        <w:separator/>
      </w:r>
    </w:p>
  </w:footnote>
  <w:footnote w:type="continuationSeparator" w:id="0">
    <w:p w:rsidR="005653C1" w:rsidRDefault="00565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9F7" w:rsidRDefault="005653C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-95243</wp:posOffset>
          </wp:positionH>
          <wp:positionV relativeFrom="paragraph">
            <wp:posOffset>-22551</wp:posOffset>
          </wp:positionV>
          <wp:extent cx="1476375" cy="300038"/>
          <wp:effectExtent l="0" t="0" r="0" b="0"/>
          <wp:wrapNone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76375" cy="3000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tbl>
    <w:tblPr>
      <w:tblStyle w:val="a7"/>
      <w:tblW w:w="1977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9889"/>
      <w:gridCol w:w="9889"/>
    </w:tblGrid>
    <w:tr w:rsidR="00F069F7">
      <w:tc>
        <w:tcPr>
          <w:tcW w:w="9889" w:type="dxa"/>
        </w:tcPr>
        <w:p w:rsidR="00F069F7" w:rsidRDefault="005653C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UNOPS </w:t>
          </w:r>
          <w:proofErr w:type="spellStart"/>
          <w:r>
            <w:rPr>
              <w:rFonts w:ascii="Arial" w:eastAsia="Arial" w:hAnsi="Arial" w:cs="Arial"/>
              <w:color w:val="000000"/>
              <w:sz w:val="18"/>
              <w:szCs w:val="18"/>
            </w:rPr>
            <w:t>eSourcing</w:t>
          </w:r>
          <w:proofErr w:type="spellEnd"/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 v2017.1</w:t>
          </w:r>
        </w:p>
      </w:tc>
      <w:tc>
        <w:tcPr>
          <w:tcW w:w="9889" w:type="dxa"/>
        </w:tcPr>
        <w:p w:rsidR="00F069F7" w:rsidRDefault="005653C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Arial" w:eastAsia="Arial" w:hAnsi="Arial" w:cs="Arial"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color w:val="000000"/>
              <w:sz w:val="18"/>
              <w:szCs w:val="18"/>
            </w:rPr>
            <w:t xml:space="preserve">ITB Ref No: </w:t>
          </w:r>
          <w:r>
            <w:rPr>
              <w:rFonts w:ascii="Arial" w:eastAsia="Arial" w:hAnsi="Arial" w:cs="Arial"/>
              <w:color w:val="000000"/>
              <w:sz w:val="18"/>
              <w:szCs w:val="18"/>
              <w:highlight w:val="yellow"/>
            </w:rPr>
            <w:t>xxx</w:t>
          </w:r>
        </w:p>
      </w:tc>
    </w:tr>
  </w:tbl>
  <w:p w:rsidR="00F069F7" w:rsidRDefault="00F069F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674C"/>
    <w:multiLevelType w:val="multilevel"/>
    <w:tmpl w:val="35E0275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9724C78"/>
    <w:multiLevelType w:val="multilevel"/>
    <w:tmpl w:val="CDEA0312"/>
    <w:lvl w:ilvl="0">
      <w:start w:val="1"/>
      <w:numFmt w:val="upperLetter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28D1385"/>
    <w:multiLevelType w:val="multilevel"/>
    <w:tmpl w:val="3398A09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F7"/>
    <w:rsid w:val="000958DE"/>
    <w:rsid w:val="005653C1"/>
    <w:rsid w:val="00F0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71C54"/>
  <w15:docId w15:val="{C8338CFD-A5A5-4C99-8716-1F9D41367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360" w:after="120"/>
      <w:outlineLvl w:val="0"/>
    </w:pPr>
    <w:rPr>
      <w:b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"/>
    <w:next w:val="Normal"/>
    <w:pPr>
      <w:spacing w:after="280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pPr>
      <w:keepNext/>
      <w:keepLines/>
      <w:spacing w:before="200"/>
      <w:outlineLvl w:val="3"/>
    </w:pPr>
    <w:rPr>
      <w:rFonts w:ascii="Cambria" w:eastAsia="Cambria" w:hAnsi="Cambria" w:cs="Cambria"/>
      <w:b/>
      <w:i/>
      <w:color w:val="4F81BD"/>
    </w:rPr>
  </w:style>
  <w:style w:type="paragraph" w:styleId="Heading5">
    <w:name w:val="heading 5"/>
    <w:basedOn w:val="Normal"/>
    <w:next w:val="Normal"/>
    <w:pPr>
      <w:spacing w:before="240" w:after="60"/>
      <w:outlineLvl w:val="4"/>
    </w:pPr>
    <w:rPr>
      <w:rFonts w:ascii="Verdana" w:eastAsia="Verdana" w:hAnsi="Verdana" w:cs="Verdana"/>
      <w:b/>
      <w:i/>
      <w:sz w:val="26"/>
      <w:szCs w:val="26"/>
    </w:rPr>
  </w:style>
  <w:style w:type="paragraph" w:styleId="Heading6">
    <w:name w:val="heading 6"/>
    <w:basedOn w:val="Normal"/>
    <w:next w:val="Normal"/>
    <w:pPr>
      <w:spacing w:before="240" w:after="60"/>
      <w:outlineLvl w:val="5"/>
    </w:pPr>
    <w:rPr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240" w:after="60"/>
      <w:jc w:val="center"/>
    </w:pPr>
    <w:rPr>
      <w:b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eastAsia="Times New Roman" w:hAnsi="Times New Roman" w:cs="Times New Roman"/>
      <w:b/>
      <w:sz w:val="24"/>
      <w:szCs w:val="24"/>
    </w:rPr>
  </w:style>
  <w:style w:type="table" w:customStyle="1" w:styleId="a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0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1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2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3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4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5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6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7">
    <w:basedOn w:val="TableNormal"/>
    <w:rPr>
      <w:rFonts w:ascii="Calibri" w:eastAsia="Calibri" w:hAnsi="Calibri" w:cs="Calibri"/>
    </w:rPr>
    <w:tblPr>
      <w:tblStyleRowBandSize w:val="1"/>
      <w:tblStyleColBandSize w:val="1"/>
    </w:tblPr>
  </w:style>
  <w:style w:type="table" w:customStyle="1" w:styleId="a8">
    <w:basedOn w:val="TableNormal"/>
    <w:rPr>
      <w:rFonts w:ascii="Calibri" w:eastAsia="Calibri" w:hAnsi="Calibri" w:cs="Calibri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IEWZgnYGjQ01gv81QTZs23SAwA==">AMUW2mW/q3yZFxXPTC02bUDvfIzF/OCmzP/iMDGUizHXQafvU0IycmC663q/pLRzJSykPOYiUiI3tz++WMG+JCBoz/JWP5X8wJUHxH5NFXP/kHiEvH9Tp8k=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Maha Mohammed Hasan SURKHI</dc:creator>
  <cp:lastModifiedBy>Maha Mohammed Hasan SURKHI</cp:lastModifiedBy>
  <cp:revision>2</cp:revision>
  <dcterms:created xsi:type="dcterms:W3CDTF">2021-05-18T17:17:00Z</dcterms:created>
  <dcterms:modified xsi:type="dcterms:W3CDTF">2021-05-18T17:17:00Z</dcterms:modified>
</cp:coreProperties>
</file>