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073" w:rsidRPr="00651073" w:rsidRDefault="00651073" w:rsidP="00651073">
      <w:pPr>
        <w:pStyle w:val="Default"/>
        <w:rPr>
          <w:sz w:val="23"/>
          <w:szCs w:val="23"/>
          <w:lang w:val="fr-FR"/>
        </w:rPr>
      </w:pPr>
      <w:r w:rsidRPr="00651073">
        <w:rPr>
          <w:b/>
          <w:bCs/>
          <w:sz w:val="23"/>
          <w:szCs w:val="23"/>
          <w:lang w:val="fr-FR"/>
        </w:rPr>
        <w:t xml:space="preserve">Annexe 2. Modèle de rapport de mission d’application de procédures convenues </w:t>
      </w:r>
      <w:bookmarkStart w:id="0" w:name="_GoBack"/>
      <w:r w:rsidRPr="00651073">
        <w:rPr>
          <w:b/>
          <w:bCs/>
          <w:sz w:val="23"/>
          <w:szCs w:val="23"/>
          <w:lang w:val="fr-FR"/>
        </w:rPr>
        <w:t xml:space="preserve">ISRS 4400 </w:t>
      </w:r>
      <w:bookmarkEnd w:id="0"/>
    </w:p>
    <w:p w:rsidR="00651073" w:rsidRDefault="00651073" w:rsidP="00651073">
      <w:pPr>
        <w:pStyle w:val="Default"/>
        <w:rPr>
          <w:b/>
          <w:bCs/>
          <w:i/>
          <w:iCs/>
          <w:sz w:val="23"/>
          <w:szCs w:val="23"/>
          <w:lang w:val="fr-FR"/>
        </w:rPr>
      </w:pPr>
    </w:p>
    <w:p w:rsidR="00651073" w:rsidRDefault="00651073" w:rsidP="00651073">
      <w:pPr>
        <w:pStyle w:val="Default"/>
        <w:rPr>
          <w:b/>
          <w:bCs/>
          <w:i/>
          <w:iCs/>
          <w:sz w:val="23"/>
          <w:szCs w:val="23"/>
          <w:lang w:val="fr-FR"/>
        </w:rPr>
      </w:pPr>
      <w:r w:rsidRPr="00651073">
        <w:rPr>
          <w:b/>
          <w:bCs/>
          <w:i/>
          <w:iCs/>
          <w:sz w:val="23"/>
          <w:szCs w:val="23"/>
          <w:lang w:val="fr-FR"/>
        </w:rPr>
        <w:t xml:space="preserve">Rapport sur les constatations de fait </w:t>
      </w:r>
    </w:p>
    <w:p w:rsidR="00651073" w:rsidRPr="00651073" w:rsidRDefault="00651073" w:rsidP="00651073">
      <w:pPr>
        <w:pStyle w:val="Default"/>
        <w:rPr>
          <w:sz w:val="23"/>
          <w:szCs w:val="23"/>
          <w:lang w:val="fr-FR"/>
        </w:rPr>
      </w:pPr>
    </w:p>
    <w:p w:rsidR="00651073" w:rsidRPr="00651073" w:rsidRDefault="00651073" w:rsidP="001F50C3">
      <w:pPr>
        <w:pStyle w:val="Default"/>
        <w:spacing w:after="240"/>
        <w:rPr>
          <w:sz w:val="23"/>
          <w:szCs w:val="23"/>
          <w:lang w:val="fr-FR"/>
        </w:rPr>
      </w:pPr>
      <w:r w:rsidRPr="00651073">
        <w:rPr>
          <w:sz w:val="23"/>
          <w:szCs w:val="23"/>
          <w:lang w:val="fr-FR"/>
        </w:rPr>
        <w:t xml:space="preserve">A l’attention de </w:t>
      </w:r>
      <w:r w:rsidRPr="00651073">
        <w:rPr>
          <w:sz w:val="23"/>
          <w:szCs w:val="23"/>
          <w:highlight w:val="yellow"/>
          <w:lang w:val="fr-FR"/>
        </w:rPr>
        <w:t>(personnes ayant engagé l’auditeur)</w:t>
      </w:r>
      <w:r w:rsidRPr="00651073">
        <w:rPr>
          <w:sz w:val="23"/>
          <w:szCs w:val="23"/>
          <w:lang w:val="fr-FR"/>
        </w:rPr>
        <w:t xml:space="preserve"> </w:t>
      </w:r>
    </w:p>
    <w:p w:rsidR="00651073" w:rsidRPr="00651073" w:rsidRDefault="00651073" w:rsidP="001F50C3">
      <w:pPr>
        <w:pStyle w:val="Default"/>
        <w:spacing w:after="240"/>
        <w:rPr>
          <w:sz w:val="23"/>
          <w:szCs w:val="23"/>
          <w:lang w:val="fr-FR"/>
        </w:rPr>
      </w:pPr>
      <w:r w:rsidRPr="00651073">
        <w:rPr>
          <w:sz w:val="23"/>
          <w:szCs w:val="23"/>
          <w:lang w:val="fr-FR"/>
        </w:rPr>
        <w:t xml:space="preserve">Nous avons mis en </w:t>
      </w:r>
      <w:proofErr w:type="spellStart"/>
      <w:r w:rsidRPr="00651073">
        <w:rPr>
          <w:sz w:val="23"/>
          <w:szCs w:val="23"/>
          <w:lang w:val="fr-FR"/>
        </w:rPr>
        <w:t>oeuvre</w:t>
      </w:r>
      <w:proofErr w:type="spellEnd"/>
      <w:r w:rsidRPr="00651073">
        <w:rPr>
          <w:sz w:val="23"/>
          <w:szCs w:val="23"/>
          <w:lang w:val="fr-FR"/>
        </w:rPr>
        <w:t xml:space="preserve"> les procédures convenues avec vous et indiquées ci-dessous relativement aux décaissements du programme (</w:t>
      </w:r>
      <w:r w:rsidRPr="00651073">
        <w:rPr>
          <w:sz w:val="23"/>
          <w:szCs w:val="23"/>
          <w:highlight w:val="yellow"/>
          <w:lang w:val="fr-FR"/>
        </w:rPr>
        <w:t>insérez le nom et le numéro du programme</w:t>
      </w:r>
      <w:r w:rsidRPr="00651073">
        <w:rPr>
          <w:sz w:val="23"/>
          <w:szCs w:val="23"/>
          <w:lang w:val="fr-FR"/>
        </w:rPr>
        <w:t xml:space="preserve">) au titre de la période de </w:t>
      </w:r>
      <w:r w:rsidRPr="00651073">
        <w:rPr>
          <w:sz w:val="23"/>
          <w:szCs w:val="23"/>
          <w:highlight w:val="yellow"/>
          <w:lang w:val="fr-FR"/>
        </w:rPr>
        <w:t>XX</w:t>
      </w:r>
      <w:r w:rsidRPr="00651073">
        <w:rPr>
          <w:sz w:val="23"/>
          <w:szCs w:val="23"/>
          <w:lang w:val="fr-FR"/>
        </w:rPr>
        <w:t xml:space="preserve"> mois expirant </w:t>
      </w:r>
      <w:proofErr w:type="gramStart"/>
      <w:r w:rsidRPr="00651073">
        <w:rPr>
          <w:sz w:val="23"/>
          <w:szCs w:val="23"/>
          <w:lang w:val="fr-FR"/>
        </w:rPr>
        <w:t>le (</w:t>
      </w:r>
      <w:r w:rsidRPr="00651073">
        <w:rPr>
          <w:sz w:val="23"/>
          <w:szCs w:val="23"/>
          <w:highlight w:val="yellow"/>
          <w:lang w:val="fr-FR"/>
        </w:rPr>
        <w:t>date</w:t>
      </w:r>
      <w:r w:rsidRPr="00651073">
        <w:rPr>
          <w:sz w:val="23"/>
          <w:szCs w:val="23"/>
          <w:lang w:val="fr-FR"/>
        </w:rPr>
        <w:t>), mentionnés</w:t>
      </w:r>
      <w:proofErr w:type="gramEnd"/>
      <w:r w:rsidRPr="00651073">
        <w:rPr>
          <w:sz w:val="23"/>
          <w:szCs w:val="23"/>
          <w:lang w:val="fr-FR"/>
        </w:rPr>
        <w:t xml:space="preserve"> dans la lettre de recommandations ci-jointe. Notre mission a été effectuée selon la norme ISRS (</w:t>
      </w:r>
      <w:r w:rsidRPr="00651073">
        <w:rPr>
          <w:sz w:val="23"/>
          <w:szCs w:val="23"/>
          <w:highlight w:val="yellow"/>
          <w:lang w:val="fr-FR"/>
        </w:rPr>
        <w:t>ou mentionnez les normes ou pratiques nationales applicables</w:t>
      </w:r>
      <w:r w:rsidRPr="00651073">
        <w:rPr>
          <w:sz w:val="23"/>
          <w:szCs w:val="23"/>
          <w:lang w:val="fr-FR"/>
        </w:rPr>
        <w:t xml:space="preserve">) relative aux missions d’application de procédures convenues. Les procédures ont été mises en </w:t>
      </w:r>
      <w:proofErr w:type="spellStart"/>
      <w:r w:rsidRPr="00651073">
        <w:rPr>
          <w:sz w:val="23"/>
          <w:szCs w:val="23"/>
          <w:lang w:val="fr-FR"/>
        </w:rPr>
        <w:t>oeuvre</w:t>
      </w:r>
      <w:proofErr w:type="spellEnd"/>
      <w:r w:rsidRPr="00651073">
        <w:rPr>
          <w:sz w:val="23"/>
          <w:szCs w:val="23"/>
          <w:lang w:val="fr-FR"/>
        </w:rPr>
        <w:t xml:space="preserve"> dans le seul but de vous aider à déterminer la validité des documents comptables justificatifs des remises d’espèces effectuées par (</w:t>
      </w:r>
      <w:r w:rsidRPr="00651073">
        <w:rPr>
          <w:sz w:val="23"/>
          <w:szCs w:val="23"/>
          <w:highlight w:val="yellow"/>
          <w:lang w:val="fr-FR"/>
        </w:rPr>
        <w:t>agence</w:t>
      </w:r>
      <w:r w:rsidRPr="00651073">
        <w:rPr>
          <w:sz w:val="23"/>
          <w:szCs w:val="23"/>
          <w:lang w:val="fr-FR"/>
        </w:rPr>
        <w:t xml:space="preserve">) et peuvent être résumées comme suit : </w:t>
      </w:r>
    </w:p>
    <w:p w:rsidR="001F50C3" w:rsidRPr="001F50C3" w:rsidRDefault="00651073" w:rsidP="001F50C3">
      <w:pPr>
        <w:pStyle w:val="Default"/>
        <w:numPr>
          <w:ilvl w:val="0"/>
          <w:numId w:val="1"/>
        </w:numPr>
        <w:spacing w:after="224"/>
        <w:rPr>
          <w:sz w:val="23"/>
          <w:szCs w:val="23"/>
          <w:lang w:val="fr-FR"/>
        </w:rPr>
      </w:pPr>
      <w:r w:rsidRPr="00651073">
        <w:rPr>
          <w:sz w:val="23"/>
          <w:szCs w:val="23"/>
          <w:lang w:val="fr-FR"/>
        </w:rPr>
        <w:t xml:space="preserve">Comparez la documentation obtenue décrivant les contrôles internes de gestion financière du PE à la </w:t>
      </w:r>
      <w:proofErr w:type="spellStart"/>
      <w:r w:rsidRPr="00651073">
        <w:rPr>
          <w:sz w:val="23"/>
          <w:szCs w:val="23"/>
          <w:lang w:val="fr-FR"/>
        </w:rPr>
        <w:t>microévaluation</w:t>
      </w:r>
      <w:proofErr w:type="spellEnd"/>
      <w:r w:rsidRPr="00651073">
        <w:rPr>
          <w:sz w:val="23"/>
          <w:szCs w:val="23"/>
          <w:lang w:val="fr-FR"/>
        </w:rPr>
        <w:t xml:space="preserve"> la plus récente du cycle de programmation correspondant. Documentez toute modification ou différence. </w:t>
      </w:r>
    </w:p>
    <w:p w:rsidR="00651073" w:rsidRPr="00651073" w:rsidRDefault="00651073" w:rsidP="001F50C3">
      <w:pPr>
        <w:pStyle w:val="Default"/>
        <w:numPr>
          <w:ilvl w:val="0"/>
          <w:numId w:val="1"/>
        </w:numPr>
        <w:spacing w:after="224"/>
        <w:rPr>
          <w:sz w:val="23"/>
          <w:szCs w:val="23"/>
          <w:lang w:val="fr-FR"/>
        </w:rPr>
      </w:pPr>
      <w:r w:rsidRPr="00651073">
        <w:rPr>
          <w:sz w:val="23"/>
          <w:szCs w:val="23"/>
          <w:lang w:val="fr-FR"/>
        </w:rPr>
        <w:t xml:space="preserve">Demander à la direction du PE si les contrôles internes ont fait l’objet de modifications depuis la dernière </w:t>
      </w:r>
      <w:proofErr w:type="spellStart"/>
      <w:r w:rsidRPr="00651073">
        <w:rPr>
          <w:sz w:val="23"/>
          <w:szCs w:val="23"/>
          <w:lang w:val="fr-FR"/>
        </w:rPr>
        <w:t>microévaluation</w:t>
      </w:r>
      <w:proofErr w:type="spellEnd"/>
      <w:r w:rsidRPr="00651073">
        <w:rPr>
          <w:sz w:val="23"/>
          <w:szCs w:val="23"/>
          <w:lang w:val="fr-FR"/>
        </w:rPr>
        <w:t xml:space="preserve"> du cycle de programmation en cours. Documentez toute modification identifiée. </w:t>
      </w:r>
    </w:p>
    <w:p w:rsidR="00651073" w:rsidRPr="00651073" w:rsidRDefault="00651073" w:rsidP="001F50C3">
      <w:pPr>
        <w:pStyle w:val="Default"/>
        <w:numPr>
          <w:ilvl w:val="0"/>
          <w:numId w:val="1"/>
        </w:numPr>
        <w:spacing w:after="224"/>
        <w:rPr>
          <w:sz w:val="23"/>
          <w:szCs w:val="23"/>
          <w:lang w:val="fr-FR"/>
        </w:rPr>
      </w:pPr>
      <w:r w:rsidRPr="00651073">
        <w:rPr>
          <w:sz w:val="23"/>
          <w:szCs w:val="23"/>
          <w:lang w:val="fr-FR"/>
        </w:rPr>
        <w:t xml:space="preserve">Obtenez une liste de l’ensemble des dépenses liées au programme au cours de la période de XX mois expirant le (date) pour les besoins de la mission d’application de procédures convenues et effectuez ce qui suit : </w:t>
      </w:r>
    </w:p>
    <w:p w:rsidR="00651073" w:rsidRPr="00651073" w:rsidRDefault="001F50C3" w:rsidP="001F50C3">
      <w:pPr>
        <w:pStyle w:val="Default"/>
        <w:numPr>
          <w:ilvl w:val="0"/>
          <w:numId w:val="2"/>
        </w:numPr>
        <w:spacing w:after="224"/>
        <w:rPr>
          <w:sz w:val="23"/>
          <w:szCs w:val="23"/>
          <w:lang w:val="fr-FR"/>
        </w:rPr>
      </w:pPr>
      <w:r>
        <w:rPr>
          <w:sz w:val="23"/>
          <w:szCs w:val="23"/>
          <w:lang w:val="fr-FR"/>
        </w:rPr>
        <w:t>S</w:t>
      </w:r>
      <w:r w:rsidR="00651073" w:rsidRPr="00651073">
        <w:rPr>
          <w:sz w:val="23"/>
          <w:szCs w:val="23"/>
          <w:lang w:val="fr-FR"/>
        </w:rPr>
        <w:t xml:space="preserve">électionnez au hasard un échantillon de dépenses correspondant à un certain pourcentage des dépenses totales. Ce pourcentage doit être fixé par chaque agence en fonction de ses besoins et exigences. Fournissez une liste détaillée des dépenses sélectionnées à titre d’échantillon. </w:t>
      </w:r>
    </w:p>
    <w:p w:rsidR="00651073" w:rsidRPr="00651073" w:rsidRDefault="00651073" w:rsidP="001F50C3">
      <w:pPr>
        <w:pStyle w:val="Default"/>
        <w:numPr>
          <w:ilvl w:val="0"/>
          <w:numId w:val="2"/>
        </w:numPr>
        <w:spacing w:after="224"/>
        <w:rPr>
          <w:sz w:val="23"/>
          <w:szCs w:val="23"/>
          <w:lang w:val="fr-FR"/>
        </w:rPr>
      </w:pPr>
      <w:r w:rsidRPr="00651073">
        <w:rPr>
          <w:sz w:val="23"/>
          <w:szCs w:val="23"/>
          <w:lang w:val="fr-FR"/>
        </w:rPr>
        <w:t xml:space="preserve">Pour chaque échantillon sélectionné, appliquez les procédures suivantes : </w:t>
      </w:r>
    </w:p>
    <w:p w:rsidR="00651073" w:rsidRPr="00651073" w:rsidRDefault="00651073" w:rsidP="001F50C3">
      <w:pPr>
        <w:pStyle w:val="Default"/>
        <w:numPr>
          <w:ilvl w:val="0"/>
          <w:numId w:val="2"/>
        </w:numPr>
        <w:spacing w:after="224"/>
        <w:rPr>
          <w:sz w:val="23"/>
          <w:szCs w:val="23"/>
          <w:lang w:val="fr-FR"/>
        </w:rPr>
      </w:pPr>
      <w:r w:rsidRPr="00651073">
        <w:rPr>
          <w:sz w:val="23"/>
          <w:szCs w:val="23"/>
          <w:lang w:val="fr-FR"/>
        </w:rPr>
        <w:t xml:space="preserve">Vérifiez que des documents existent pour justifier les dépenses conformément aux règles et procédures du PE et aux accords conclus avec l’agence. </w:t>
      </w:r>
    </w:p>
    <w:p w:rsidR="00651073" w:rsidRPr="00651073" w:rsidRDefault="00651073" w:rsidP="001F50C3">
      <w:pPr>
        <w:pStyle w:val="Default"/>
        <w:numPr>
          <w:ilvl w:val="0"/>
          <w:numId w:val="2"/>
        </w:numPr>
        <w:spacing w:after="224"/>
        <w:rPr>
          <w:sz w:val="23"/>
          <w:szCs w:val="23"/>
          <w:lang w:val="fr-FR"/>
        </w:rPr>
      </w:pPr>
      <w:r w:rsidRPr="00651073">
        <w:rPr>
          <w:sz w:val="23"/>
          <w:szCs w:val="23"/>
          <w:lang w:val="fr-FR"/>
        </w:rPr>
        <w:t xml:space="preserve">Vérifiez que l’activité liée à la dépense est conforme au plan de travail. </w:t>
      </w:r>
    </w:p>
    <w:p w:rsidR="00651073" w:rsidRPr="00651073" w:rsidRDefault="00651073" w:rsidP="001F50C3">
      <w:pPr>
        <w:pStyle w:val="Default"/>
        <w:numPr>
          <w:ilvl w:val="0"/>
          <w:numId w:val="2"/>
        </w:numPr>
        <w:spacing w:after="224"/>
        <w:rPr>
          <w:sz w:val="23"/>
          <w:szCs w:val="23"/>
          <w:lang w:val="fr-FR"/>
        </w:rPr>
      </w:pPr>
      <w:r w:rsidRPr="00651073">
        <w:rPr>
          <w:sz w:val="23"/>
          <w:szCs w:val="23"/>
          <w:lang w:val="fr-FR"/>
        </w:rPr>
        <w:t xml:space="preserve">Vérifiez que la dépense a été examinée et approuvée conformément aux règles et procédures du PE et aux accords conclus avec l’agence. </w:t>
      </w:r>
    </w:p>
    <w:p w:rsidR="00651073" w:rsidRPr="00651073" w:rsidRDefault="00651073" w:rsidP="001F50C3">
      <w:pPr>
        <w:pStyle w:val="Default"/>
        <w:numPr>
          <w:ilvl w:val="0"/>
          <w:numId w:val="2"/>
        </w:numPr>
        <w:spacing w:after="224"/>
        <w:rPr>
          <w:sz w:val="23"/>
          <w:szCs w:val="23"/>
          <w:lang w:val="fr-FR"/>
        </w:rPr>
      </w:pPr>
      <w:r w:rsidRPr="00651073">
        <w:rPr>
          <w:sz w:val="23"/>
          <w:szCs w:val="23"/>
          <w:lang w:val="fr-FR"/>
        </w:rPr>
        <w:t xml:space="preserve">Vérifiez que la dépense figure dans un formulaire FACE certifié soumis à l’agence. </w:t>
      </w:r>
    </w:p>
    <w:p w:rsidR="00651073" w:rsidRPr="00651073" w:rsidRDefault="00651073" w:rsidP="001F50C3">
      <w:pPr>
        <w:pStyle w:val="Default"/>
        <w:numPr>
          <w:ilvl w:val="0"/>
          <w:numId w:val="2"/>
        </w:numPr>
        <w:spacing w:after="224"/>
        <w:rPr>
          <w:sz w:val="23"/>
          <w:szCs w:val="23"/>
          <w:lang w:val="fr-FR"/>
        </w:rPr>
      </w:pPr>
      <w:r w:rsidRPr="00651073">
        <w:rPr>
          <w:sz w:val="23"/>
          <w:szCs w:val="23"/>
          <w:lang w:val="fr-FR"/>
        </w:rPr>
        <w:t xml:space="preserve">Vérifiez que la dépense figure dans les documents comptables et le relevé de compte bancaire du PE. </w:t>
      </w:r>
    </w:p>
    <w:p w:rsidR="00651073" w:rsidRPr="00651073" w:rsidRDefault="00651073" w:rsidP="001F50C3">
      <w:pPr>
        <w:pStyle w:val="Default"/>
        <w:numPr>
          <w:ilvl w:val="0"/>
          <w:numId w:val="2"/>
        </w:numPr>
        <w:spacing w:after="224"/>
        <w:rPr>
          <w:sz w:val="23"/>
          <w:szCs w:val="23"/>
          <w:lang w:val="fr-FR"/>
        </w:rPr>
      </w:pPr>
      <w:r w:rsidRPr="00651073">
        <w:rPr>
          <w:sz w:val="23"/>
          <w:szCs w:val="23"/>
          <w:lang w:val="fr-FR"/>
        </w:rPr>
        <w:t xml:space="preserve">Vérifiez que les documents justificatifs sont estampillés « PAYE à l’aide du don XXX », indiquant l’agence qui a financé la transaction. </w:t>
      </w:r>
    </w:p>
    <w:p w:rsidR="00651073" w:rsidRPr="00651073" w:rsidRDefault="00651073" w:rsidP="001F50C3">
      <w:pPr>
        <w:pStyle w:val="Default"/>
        <w:numPr>
          <w:ilvl w:val="0"/>
          <w:numId w:val="2"/>
        </w:numPr>
        <w:spacing w:after="224"/>
        <w:rPr>
          <w:sz w:val="23"/>
          <w:szCs w:val="23"/>
          <w:lang w:val="fr-FR"/>
        </w:rPr>
      </w:pPr>
      <w:r w:rsidRPr="00651073">
        <w:rPr>
          <w:sz w:val="23"/>
          <w:szCs w:val="23"/>
          <w:lang w:val="fr-FR"/>
        </w:rPr>
        <w:t xml:space="preserve">Vérifiez que le formulaire FACE a été soumis conformément à l’exigence du cadre HACT en matière de périodicité des versements (sous deux semaines). </w:t>
      </w:r>
    </w:p>
    <w:p w:rsidR="00651073" w:rsidRPr="00651073" w:rsidRDefault="00651073" w:rsidP="00651073">
      <w:pPr>
        <w:pStyle w:val="Default"/>
        <w:rPr>
          <w:color w:val="auto"/>
          <w:lang w:val="fr-FR"/>
        </w:rPr>
      </w:pPr>
    </w:p>
    <w:p w:rsidR="00651073" w:rsidRPr="00651073" w:rsidRDefault="00651073" w:rsidP="00651073">
      <w:pPr>
        <w:pStyle w:val="Default"/>
        <w:pageBreakBefore/>
        <w:rPr>
          <w:color w:val="auto"/>
          <w:lang w:val="fr-FR"/>
        </w:rPr>
      </w:pPr>
    </w:p>
    <w:p w:rsidR="00651073" w:rsidRPr="00651073" w:rsidRDefault="00651073" w:rsidP="001F50C3">
      <w:pPr>
        <w:pStyle w:val="Default"/>
        <w:numPr>
          <w:ilvl w:val="0"/>
          <w:numId w:val="2"/>
        </w:numPr>
        <w:spacing w:after="224"/>
        <w:rPr>
          <w:color w:val="auto"/>
          <w:sz w:val="23"/>
          <w:szCs w:val="23"/>
          <w:lang w:val="fr-FR"/>
        </w:rPr>
      </w:pPr>
      <w:r w:rsidRPr="001F50C3">
        <w:rPr>
          <w:sz w:val="23"/>
          <w:szCs w:val="23"/>
          <w:lang w:val="fr-FR"/>
        </w:rPr>
        <w:t>Vérifiez</w:t>
      </w:r>
      <w:r w:rsidRPr="00651073">
        <w:rPr>
          <w:color w:val="auto"/>
          <w:sz w:val="23"/>
          <w:szCs w:val="23"/>
          <w:lang w:val="fr-FR"/>
        </w:rPr>
        <w:t xml:space="preserve"> le prix payé au titre des biens ou services par rapport aux tarifs standards convenus des Nations Unies (s’ils sont facilement consultables). </w:t>
      </w:r>
    </w:p>
    <w:p w:rsidR="00651073" w:rsidRPr="00651073" w:rsidRDefault="00651073" w:rsidP="001F50C3">
      <w:pPr>
        <w:pStyle w:val="Default"/>
        <w:numPr>
          <w:ilvl w:val="0"/>
          <w:numId w:val="1"/>
        </w:numPr>
        <w:spacing w:after="224"/>
        <w:rPr>
          <w:color w:val="auto"/>
          <w:sz w:val="23"/>
          <w:szCs w:val="23"/>
          <w:lang w:val="fr-FR"/>
        </w:rPr>
      </w:pPr>
      <w:r w:rsidRPr="00651073">
        <w:rPr>
          <w:color w:val="auto"/>
          <w:sz w:val="23"/>
          <w:szCs w:val="23"/>
          <w:lang w:val="fr-FR"/>
        </w:rPr>
        <w:t xml:space="preserve">Si des comptes bancaires séparés sont utilisés pour des fonds versés par des agences, appliquez les procédures suivantes : </w:t>
      </w:r>
    </w:p>
    <w:p w:rsidR="00651073" w:rsidRPr="00651073" w:rsidRDefault="00651073" w:rsidP="00651073">
      <w:pPr>
        <w:pStyle w:val="Default"/>
        <w:rPr>
          <w:color w:val="auto"/>
          <w:sz w:val="23"/>
          <w:szCs w:val="23"/>
          <w:lang w:val="fr-FR"/>
        </w:rPr>
      </w:pPr>
    </w:p>
    <w:p w:rsidR="00651073" w:rsidRPr="00651073" w:rsidRDefault="001F50C3" w:rsidP="001F50C3">
      <w:pPr>
        <w:pStyle w:val="Default"/>
        <w:numPr>
          <w:ilvl w:val="0"/>
          <w:numId w:val="2"/>
        </w:numPr>
        <w:spacing w:after="224"/>
        <w:rPr>
          <w:color w:val="auto"/>
          <w:sz w:val="23"/>
          <w:szCs w:val="23"/>
          <w:lang w:val="fr-FR"/>
        </w:rPr>
      </w:pPr>
      <w:r>
        <w:rPr>
          <w:color w:val="auto"/>
          <w:sz w:val="23"/>
          <w:szCs w:val="23"/>
          <w:lang w:val="fr-FR"/>
        </w:rPr>
        <w:t>V</w:t>
      </w:r>
      <w:r w:rsidR="00651073" w:rsidRPr="00651073">
        <w:rPr>
          <w:color w:val="auto"/>
          <w:sz w:val="23"/>
          <w:szCs w:val="23"/>
          <w:lang w:val="fr-FR"/>
        </w:rPr>
        <w:t xml:space="preserve">érifiez que l’activité indiquée dans le relevé de compte bancaire correspond à celle qui figure dans les documents comptables. Documentez toute différence relevée ; et </w:t>
      </w:r>
    </w:p>
    <w:p w:rsidR="00651073" w:rsidRPr="00651073" w:rsidRDefault="001F50C3" w:rsidP="001F50C3">
      <w:pPr>
        <w:pStyle w:val="Default"/>
        <w:numPr>
          <w:ilvl w:val="0"/>
          <w:numId w:val="2"/>
        </w:numPr>
        <w:spacing w:after="224"/>
        <w:rPr>
          <w:color w:val="auto"/>
          <w:sz w:val="23"/>
          <w:szCs w:val="23"/>
          <w:lang w:val="fr-FR"/>
        </w:rPr>
      </w:pPr>
      <w:r>
        <w:rPr>
          <w:color w:val="auto"/>
          <w:sz w:val="23"/>
          <w:szCs w:val="23"/>
          <w:lang w:val="fr-FR"/>
        </w:rPr>
        <w:t>C</w:t>
      </w:r>
      <w:r w:rsidR="00651073" w:rsidRPr="00651073">
        <w:rPr>
          <w:color w:val="auto"/>
          <w:sz w:val="23"/>
          <w:szCs w:val="23"/>
          <w:lang w:val="fr-FR"/>
        </w:rPr>
        <w:t xml:space="preserve">onfirmez qu’un rapprochement bancaire a été effectué et que le solde et les documents comptables ont été rapprochés. Documentez toute différence relevée. </w:t>
      </w:r>
    </w:p>
    <w:p w:rsidR="00651073" w:rsidRPr="00651073" w:rsidRDefault="00651073" w:rsidP="001F50C3">
      <w:pPr>
        <w:pStyle w:val="Default"/>
        <w:spacing w:after="240"/>
        <w:rPr>
          <w:color w:val="auto"/>
          <w:sz w:val="23"/>
          <w:szCs w:val="23"/>
          <w:lang w:val="fr-FR"/>
        </w:rPr>
      </w:pPr>
      <w:r w:rsidRPr="00651073">
        <w:rPr>
          <w:color w:val="auto"/>
          <w:sz w:val="23"/>
          <w:szCs w:val="23"/>
          <w:lang w:val="fr-FR"/>
        </w:rPr>
        <w:t xml:space="preserve">Les travaux effectués nous conduisent aux constatations de fait suivantes : </w:t>
      </w:r>
    </w:p>
    <w:p w:rsidR="001F50C3" w:rsidRPr="001F50C3" w:rsidRDefault="00651073" w:rsidP="001F50C3">
      <w:pPr>
        <w:pStyle w:val="Default"/>
        <w:numPr>
          <w:ilvl w:val="0"/>
          <w:numId w:val="3"/>
        </w:numPr>
        <w:spacing w:after="213"/>
        <w:rPr>
          <w:color w:val="auto"/>
          <w:sz w:val="23"/>
          <w:szCs w:val="23"/>
          <w:lang w:val="fr-FR"/>
        </w:rPr>
      </w:pPr>
      <w:r w:rsidRPr="00651073">
        <w:rPr>
          <w:color w:val="auto"/>
          <w:sz w:val="23"/>
          <w:szCs w:val="23"/>
          <w:lang w:val="fr-FR"/>
        </w:rPr>
        <w:t>Concernant les procédures reprises au point 1, nous avons constaté que (</w:t>
      </w:r>
      <w:r w:rsidRPr="00651073">
        <w:rPr>
          <w:color w:val="auto"/>
          <w:sz w:val="23"/>
          <w:szCs w:val="23"/>
          <w:highlight w:val="yellow"/>
          <w:lang w:val="fr-FR"/>
        </w:rPr>
        <w:t>détaillez les constatations</w:t>
      </w:r>
      <w:r w:rsidRPr="00651073">
        <w:rPr>
          <w:color w:val="auto"/>
          <w:sz w:val="23"/>
          <w:szCs w:val="23"/>
          <w:lang w:val="fr-FR"/>
        </w:rPr>
        <w:t xml:space="preserve">). </w:t>
      </w:r>
    </w:p>
    <w:p w:rsidR="00651073" w:rsidRPr="00651073" w:rsidRDefault="00651073" w:rsidP="001F50C3">
      <w:pPr>
        <w:pStyle w:val="Default"/>
        <w:numPr>
          <w:ilvl w:val="0"/>
          <w:numId w:val="3"/>
        </w:numPr>
        <w:spacing w:after="213"/>
        <w:rPr>
          <w:color w:val="auto"/>
          <w:sz w:val="23"/>
          <w:szCs w:val="23"/>
          <w:lang w:val="fr-FR"/>
        </w:rPr>
      </w:pPr>
      <w:r w:rsidRPr="00651073">
        <w:rPr>
          <w:color w:val="auto"/>
          <w:sz w:val="23"/>
          <w:szCs w:val="23"/>
          <w:lang w:val="fr-FR"/>
        </w:rPr>
        <w:t>Concernant les procédures reprises au point 2, nous avons constaté que (</w:t>
      </w:r>
      <w:r w:rsidRPr="00651073">
        <w:rPr>
          <w:color w:val="auto"/>
          <w:sz w:val="23"/>
          <w:szCs w:val="23"/>
          <w:highlight w:val="yellow"/>
          <w:lang w:val="fr-FR"/>
        </w:rPr>
        <w:t>détaillez les constatations</w:t>
      </w:r>
      <w:r w:rsidRPr="00651073">
        <w:rPr>
          <w:color w:val="auto"/>
          <w:sz w:val="23"/>
          <w:szCs w:val="23"/>
          <w:lang w:val="fr-FR"/>
        </w:rPr>
        <w:t xml:space="preserve">). </w:t>
      </w:r>
    </w:p>
    <w:p w:rsidR="00651073" w:rsidRPr="00651073" w:rsidRDefault="00651073" w:rsidP="001F50C3">
      <w:pPr>
        <w:pStyle w:val="Default"/>
        <w:numPr>
          <w:ilvl w:val="0"/>
          <w:numId w:val="3"/>
        </w:numPr>
        <w:spacing w:after="213"/>
        <w:rPr>
          <w:color w:val="auto"/>
          <w:sz w:val="23"/>
          <w:szCs w:val="23"/>
          <w:lang w:val="fr-FR"/>
        </w:rPr>
      </w:pPr>
      <w:r w:rsidRPr="00651073">
        <w:rPr>
          <w:color w:val="auto"/>
          <w:sz w:val="23"/>
          <w:szCs w:val="23"/>
          <w:lang w:val="fr-FR"/>
        </w:rPr>
        <w:t>Concernant les procédures reprises au point 3, nous avons constaté que (</w:t>
      </w:r>
      <w:r w:rsidRPr="00651073">
        <w:rPr>
          <w:color w:val="auto"/>
          <w:sz w:val="23"/>
          <w:szCs w:val="23"/>
          <w:highlight w:val="yellow"/>
          <w:lang w:val="fr-FR"/>
        </w:rPr>
        <w:t>détaillez les constatations</w:t>
      </w:r>
      <w:r w:rsidRPr="00651073">
        <w:rPr>
          <w:color w:val="auto"/>
          <w:sz w:val="23"/>
          <w:szCs w:val="23"/>
          <w:lang w:val="fr-FR"/>
        </w:rPr>
        <w:t xml:space="preserve">). </w:t>
      </w:r>
    </w:p>
    <w:p w:rsidR="00651073" w:rsidRPr="00651073" w:rsidRDefault="00651073" w:rsidP="001F50C3">
      <w:pPr>
        <w:pStyle w:val="Default"/>
        <w:numPr>
          <w:ilvl w:val="0"/>
          <w:numId w:val="3"/>
        </w:numPr>
        <w:spacing w:after="213"/>
        <w:rPr>
          <w:color w:val="auto"/>
          <w:sz w:val="23"/>
          <w:szCs w:val="23"/>
          <w:lang w:val="fr-FR"/>
        </w:rPr>
      </w:pPr>
      <w:r w:rsidRPr="00651073">
        <w:rPr>
          <w:color w:val="auto"/>
          <w:sz w:val="23"/>
          <w:szCs w:val="23"/>
          <w:lang w:val="fr-FR"/>
        </w:rPr>
        <w:t>Concernant les procédures reprises au point 4, nous avons constaté que (</w:t>
      </w:r>
      <w:r w:rsidRPr="00651073">
        <w:rPr>
          <w:color w:val="auto"/>
          <w:sz w:val="23"/>
          <w:szCs w:val="23"/>
          <w:highlight w:val="yellow"/>
          <w:lang w:val="fr-FR"/>
        </w:rPr>
        <w:t>détaillez les constatations</w:t>
      </w:r>
      <w:r w:rsidRPr="00651073">
        <w:rPr>
          <w:color w:val="auto"/>
          <w:sz w:val="23"/>
          <w:szCs w:val="23"/>
          <w:lang w:val="fr-FR"/>
        </w:rPr>
        <w:t xml:space="preserve">). </w:t>
      </w:r>
    </w:p>
    <w:p w:rsidR="00651073" w:rsidRPr="00651073" w:rsidRDefault="00651073" w:rsidP="001F50C3">
      <w:pPr>
        <w:pStyle w:val="Default"/>
        <w:spacing w:after="240"/>
        <w:rPr>
          <w:color w:val="auto"/>
          <w:sz w:val="23"/>
          <w:szCs w:val="23"/>
          <w:lang w:val="fr-FR"/>
        </w:rPr>
      </w:pPr>
      <w:r w:rsidRPr="00651073">
        <w:rPr>
          <w:color w:val="auto"/>
          <w:sz w:val="23"/>
          <w:szCs w:val="23"/>
          <w:lang w:val="fr-FR"/>
        </w:rPr>
        <w:t>Compte tenu du fait que les procédures mentionnées ci-dessus ne constituent ni au audit ni un examen limité selon les normes internationales d’audit (</w:t>
      </w:r>
      <w:r w:rsidRPr="00651073">
        <w:rPr>
          <w:i/>
          <w:iCs/>
          <w:color w:val="auto"/>
          <w:sz w:val="23"/>
          <w:szCs w:val="23"/>
          <w:lang w:val="fr-FR"/>
        </w:rPr>
        <w:t xml:space="preserve">International Standards on </w:t>
      </w:r>
      <w:proofErr w:type="spellStart"/>
      <w:r w:rsidRPr="00651073">
        <w:rPr>
          <w:i/>
          <w:iCs/>
          <w:color w:val="auto"/>
          <w:sz w:val="23"/>
          <w:szCs w:val="23"/>
          <w:lang w:val="fr-FR"/>
        </w:rPr>
        <w:t>Auditing</w:t>
      </w:r>
      <w:proofErr w:type="spellEnd"/>
      <w:r w:rsidRPr="00651073">
        <w:rPr>
          <w:color w:val="auto"/>
          <w:sz w:val="23"/>
          <w:szCs w:val="23"/>
          <w:lang w:val="fr-FR"/>
        </w:rPr>
        <w:t>, Normes ISA) ou les normes internationales d’examen limité (</w:t>
      </w:r>
      <w:r w:rsidRPr="00651073">
        <w:rPr>
          <w:i/>
          <w:iCs/>
          <w:color w:val="auto"/>
          <w:sz w:val="23"/>
          <w:szCs w:val="23"/>
          <w:lang w:val="fr-FR"/>
        </w:rPr>
        <w:t xml:space="preserve">International Standards on </w:t>
      </w:r>
      <w:proofErr w:type="spellStart"/>
      <w:r w:rsidRPr="00651073">
        <w:rPr>
          <w:i/>
          <w:iCs/>
          <w:color w:val="auto"/>
          <w:sz w:val="23"/>
          <w:szCs w:val="23"/>
          <w:lang w:val="fr-FR"/>
        </w:rPr>
        <w:t>Review</w:t>
      </w:r>
      <w:proofErr w:type="spellEnd"/>
      <w:r w:rsidRPr="00651073">
        <w:rPr>
          <w:i/>
          <w:iCs/>
          <w:color w:val="auto"/>
          <w:sz w:val="23"/>
          <w:szCs w:val="23"/>
          <w:lang w:val="fr-FR"/>
        </w:rPr>
        <w:t xml:space="preserve"> Engagements</w:t>
      </w:r>
      <w:r w:rsidRPr="00651073">
        <w:rPr>
          <w:color w:val="auto"/>
          <w:sz w:val="23"/>
          <w:szCs w:val="23"/>
          <w:lang w:val="fr-FR"/>
        </w:rPr>
        <w:t>, Normes ISRE) (</w:t>
      </w:r>
      <w:r w:rsidRPr="00651073">
        <w:rPr>
          <w:color w:val="auto"/>
          <w:sz w:val="23"/>
          <w:szCs w:val="23"/>
          <w:highlight w:val="yellow"/>
          <w:lang w:val="fr-FR"/>
        </w:rPr>
        <w:t>ou les normes ou pratiques nationales applicables</w:t>
      </w:r>
      <w:r w:rsidRPr="00651073">
        <w:rPr>
          <w:color w:val="auto"/>
          <w:sz w:val="23"/>
          <w:szCs w:val="23"/>
          <w:lang w:val="fr-FR"/>
        </w:rPr>
        <w:t xml:space="preserve">), nous n’exprimons aucun degré d’assurance sur les décaissements du programme au titre de la période de </w:t>
      </w:r>
      <w:r w:rsidRPr="00651073">
        <w:rPr>
          <w:color w:val="auto"/>
          <w:sz w:val="23"/>
          <w:szCs w:val="23"/>
          <w:highlight w:val="yellow"/>
          <w:lang w:val="fr-FR"/>
        </w:rPr>
        <w:t>XX</w:t>
      </w:r>
      <w:r w:rsidRPr="00651073">
        <w:rPr>
          <w:color w:val="auto"/>
          <w:sz w:val="23"/>
          <w:szCs w:val="23"/>
          <w:lang w:val="fr-FR"/>
        </w:rPr>
        <w:t xml:space="preserve"> mois expirant le (</w:t>
      </w:r>
      <w:r w:rsidRPr="00651073">
        <w:rPr>
          <w:color w:val="auto"/>
          <w:sz w:val="23"/>
          <w:szCs w:val="23"/>
          <w:highlight w:val="yellow"/>
          <w:lang w:val="fr-FR"/>
        </w:rPr>
        <w:t>date</w:t>
      </w:r>
      <w:r w:rsidRPr="00651073">
        <w:rPr>
          <w:color w:val="auto"/>
          <w:sz w:val="23"/>
          <w:szCs w:val="23"/>
          <w:lang w:val="fr-FR"/>
        </w:rPr>
        <w:t xml:space="preserve">). </w:t>
      </w:r>
    </w:p>
    <w:p w:rsidR="00651073" w:rsidRPr="00651073" w:rsidRDefault="00651073" w:rsidP="001F50C3">
      <w:pPr>
        <w:pStyle w:val="Default"/>
        <w:spacing w:after="240"/>
        <w:rPr>
          <w:color w:val="auto"/>
          <w:sz w:val="23"/>
          <w:szCs w:val="23"/>
          <w:lang w:val="fr-FR"/>
        </w:rPr>
      </w:pPr>
      <w:r w:rsidRPr="00651073">
        <w:rPr>
          <w:color w:val="auto"/>
          <w:sz w:val="23"/>
          <w:szCs w:val="23"/>
          <w:lang w:val="fr-FR"/>
        </w:rPr>
        <w:t xml:space="preserve">Si nous avions mis en </w:t>
      </w:r>
      <w:r w:rsidR="001F50C3" w:rsidRPr="00651073">
        <w:rPr>
          <w:color w:val="auto"/>
          <w:sz w:val="23"/>
          <w:szCs w:val="23"/>
          <w:lang w:val="fr-FR"/>
        </w:rPr>
        <w:t>œuvre</w:t>
      </w:r>
      <w:r w:rsidRPr="00651073">
        <w:rPr>
          <w:color w:val="auto"/>
          <w:sz w:val="23"/>
          <w:szCs w:val="23"/>
          <w:lang w:val="fr-FR"/>
        </w:rPr>
        <w:t xml:space="preserve"> des procédures complémentaires ou si nous avions réalisé un audit ou un examen limité des états financiers selon les normes internationales d’audit ou les normes internationales d’examen limité (</w:t>
      </w:r>
      <w:r w:rsidRPr="00651073">
        <w:rPr>
          <w:color w:val="auto"/>
          <w:sz w:val="23"/>
          <w:szCs w:val="23"/>
          <w:highlight w:val="yellow"/>
          <w:lang w:val="fr-FR"/>
        </w:rPr>
        <w:t>ou les normes ou pratiques nationales applicables</w:t>
      </w:r>
      <w:r w:rsidRPr="00651073">
        <w:rPr>
          <w:color w:val="auto"/>
          <w:sz w:val="23"/>
          <w:szCs w:val="23"/>
          <w:lang w:val="fr-FR"/>
        </w:rPr>
        <w:t xml:space="preserve">), d’autres éléments auraient pu être portés à notre connaissance et vous auraient été communiqués. </w:t>
      </w:r>
    </w:p>
    <w:p w:rsidR="00651073" w:rsidRPr="00651073" w:rsidRDefault="00651073" w:rsidP="001F50C3">
      <w:pPr>
        <w:pStyle w:val="Default"/>
        <w:spacing w:after="240"/>
        <w:rPr>
          <w:color w:val="auto"/>
          <w:sz w:val="23"/>
          <w:szCs w:val="23"/>
          <w:lang w:val="fr-FR"/>
        </w:rPr>
      </w:pPr>
      <w:r w:rsidRPr="00651073">
        <w:rPr>
          <w:color w:val="auto"/>
          <w:sz w:val="23"/>
          <w:szCs w:val="23"/>
          <w:lang w:val="fr-FR"/>
        </w:rPr>
        <w:t xml:space="preserve">Notre rapport n’a pour seul objectif que celui indiqué dans le premier paragraphe de ce rapport et est réservé à votre usage personnel. Il ne peut être utilisé à d’autre fins, ni être diffusé à d’autres parties. Ce rapport ne concerne que les éléments susmentionnés et ne s’étend à aucun des états financiers du partenaire d’exécution pris dans leur ensemble. </w:t>
      </w:r>
    </w:p>
    <w:p w:rsidR="00651073" w:rsidRDefault="00651073" w:rsidP="00651073">
      <w:pPr>
        <w:pStyle w:val="Default"/>
        <w:rPr>
          <w:color w:val="auto"/>
          <w:sz w:val="23"/>
          <w:szCs w:val="23"/>
        </w:rPr>
      </w:pPr>
    </w:p>
    <w:p w:rsidR="00651073" w:rsidRPr="00651073" w:rsidRDefault="00651073" w:rsidP="00651073">
      <w:pPr>
        <w:pStyle w:val="Default"/>
        <w:rPr>
          <w:color w:val="auto"/>
          <w:sz w:val="23"/>
          <w:szCs w:val="23"/>
          <w:highlight w:val="yellow"/>
        </w:rPr>
      </w:pPr>
      <w:r w:rsidRPr="00651073">
        <w:rPr>
          <w:color w:val="auto"/>
          <w:sz w:val="23"/>
          <w:szCs w:val="23"/>
          <w:highlight w:val="yellow"/>
        </w:rPr>
        <w:t xml:space="preserve">Signature </w:t>
      </w:r>
    </w:p>
    <w:p w:rsidR="00651073" w:rsidRPr="00651073" w:rsidRDefault="00651073" w:rsidP="00651073">
      <w:pPr>
        <w:pStyle w:val="Default"/>
        <w:rPr>
          <w:color w:val="auto"/>
          <w:sz w:val="23"/>
          <w:szCs w:val="23"/>
          <w:highlight w:val="yellow"/>
        </w:rPr>
      </w:pPr>
    </w:p>
    <w:p w:rsidR="00651073" w:rsidRPr="00651073" w:rsidRDefault="00651073" w:rsidP="00651073">
      <w:pPr>
        <w:pStyle w:val="Default"/>
        <w:rPr>
          <w:color w:val="auto"/>
          <w:sz w:val="23"/>
          <w:szCs w:val="23"/>
          <w:highlight w:val="yellow"/>
        </w:rPr>
      </w:pPr>
      <w:r w:rsidRPr="00651073">
        <w:rPr>
          <w:color w:val="auto"/>
          <w:sz w:val="23"/>
          <w:szCs w:val="23"/>
          <w:highlight w:val="yellow"/>
        </w:rPr>
        <w:t xml:space="preserve">Date </w:t>
      </w:r>
    </w:p>
    <w:p w:rsidR="00651073" w:rsidRPr="00651073" w:rsidRDefault="00651073" w:rsidP="00651073">
      <w:pPr>
        <w:rPr>
          <w:sz w:val="23"/>
          <w:szCs w:val="23"/>
          <w:highlight w:val="yellow"/>
        </w:rPr>
      </w:pPr>
    </w:p>
    <w:p w:rsidR="003E28BC" w:rsidRDefault="00651073" w:rsidP="00651073">
      <w:pPr>
        <w:rPr>
          <w:rFonts w:ascii="Times New Roman" w:hAnsi="Times New Roman" w:cs="Times New Roman"/>
          <w:sz w:val="24"/>
          <w:szCs w:val="24"/>
        </w:rPr>
      </w:pPr>
      <w:proofErr w:type="spellStart"/>
      <w:r w:rsidRPr="00651073">
        <w:rPr>
          <w:sz w:val="23"/>
          <w:szCs w:val="23"/>
          <w:highlight w:val="yellow"/>
        </w:rPr>
        <w:t>Adresse</w:t>
      </w:r>
      <w:proofErr w:type="spellEnd"/>
    </w:p>
    <w:p w:rsidR="00B964E0" w:rsidRPr="00B964E0" w:rsidRDefault="00B964E0">
      <w:pPr>
        <w:rPr>
          <w:rFonts w:ascii="Times New Roman" w:hAnsi="Times New Roman" w:cs="Times New Roman"/>
          <w:sz w:val="24"/>
          <w:szCs w:val="24"/>
        </w:rPr>
      </w:pPr>
    </w:p>
    <w:sectPr w:rsidR="00B964E0" w:rsidRPr="00B964E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733CB"/>
    <w:multiLevelType w:val="hybridMultilevel"/>
    <w:tmpl w:val="043825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69A0B1A"/>
    <w:multiLevelType w:val="hybridMultilevel"/>
    <w:tmpl w:val="8196C414"/>
    <w:lvl w:ilvl="0" w:tplc="BF0CA780">
      <w:start w:val="1"/>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44337F2"/>
    <w:multiLevelType w:val="hybridMultilevel"/>
    <w:tmpl w:val="6E5C34F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073"/>
    <w:rsid w:val="001F50C3"/>
    <w:rsid w:val="003E28BC"/>
    <w:rsid w:val="00651073"/>
    <w:rsid w:val="00714019"/>
    <w:rsid w:val="00B964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EE9E6D-BBC6-4D71-9821-58A27EE3C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51073"/>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750</Words>
  <Characters>4278</Characters>
  <Application>Microsoft Office Word</Application>
  <DocSecurity>0</DocSecurity>
  <Lines>35</Lines>
  <Paragraphs>10</Paragraphs>
  <ScaleCrop>false</ScaleCrop>
  <Company>UNICEF</Company>
  <LinksUpToDate>false</LinksUpToDate>
  <CharactersWithSpaces>5018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Rachid Amri</dc:creator>
  <cp:keywords/>
  <dc:description/>
  <cp:lastModifiedBy>Rachid Amri</cp:lastModifiedBy>
  <cp:revision>2</cp:revision>
  <dcterms:created xsi:type="dcterms:W3CDTF">2016-08-18T10:34:00Z</dcterms:created>
  <dcterms:modified xsi:type="dcterms:W3CDTF">2016-08-18T10:45:00Z</dcterms:modified>
</cp:coreProperties>
</file>