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4B494CF6" w:rsidR="00923FCC" w:rsidRDefault="00651F08">
      <w:pPr>
        <w:pBdr>
          <w:top w:val="nil"/>
          <w:left w:val="nil"/>
          <w:bottom w:val="nil"/>
          <w:right w:val="nil"/>
          <w:between w:val="nil"/>
        </w:pBdr>
        <w:rPr>
          <w:rFonts w:ascii="Arial" w:eastAsia="Arial" w:hAnsi="Arial" w:cs="Arial"/>
          <w:b/>
          <w:color w:val="000000"/>
          <w:sz w:val="18"/>
          <w:szCs w:val="18"/>
        </w:rPr>
      </w:pPr>
      <w:r>
        <w:rPr>
          <w:noProof/>
        </w:rPr>
        <w:drawing>
          <wp:anchor distT="0" distB="0" distL="114300" distR="114300" simplePos="0" relativeHeight="251658240" behindDoc="0" locked="0" layoutInCell="1" hidden="0" allowOverlap="1" wp14:anchorId="251F9DBA" wp14:editId="561A46C4">
            <wp:simplePos x="0" y="0"/>
            <wp:positionH relativeFrom="column">
              <wp:posOffset>4243236</wp:posOffset>
            </wp:positionH>
            <wp:positionV relativeFrom="paragraph">
              <wp:posOffset>-730084</wp:posOffset>
            </wp:positionV>
            <wp:extent cx="2322830" cy="1743710"/>
            <wp:effectExtent l="0" t="0" r="0" b="0"/>
            <wp:wrapNone/>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322830" cy="1743710"/>
                    </a:xfrm>
                    <a:prstGeom prst="rect">
                      <a:avLst/>
                    </a:prstGeom>
                    <a:ln/>
                  </pic:spPr>
                </pic:pic>
              </a:graphicData>
            </a:graphic>
          </wp:anchor>
        </w:drawing>
      </w:r>
    </w:p>
    <w:p w14:paraId="00000002" w14:textId="77777777" w:rsidR="00923FCC" w:rsidRDefault="00923FCC">
      <w:pPr>
        <w:jc w:val="center"/>
        <w:rPr>
          <w:rFonts w:ascii="Arial" w:eastAsia="Arial" w:hAnsi="Arial" w:cs="Arial"/>
          <w:b/>
          <w:u w:val="single"/>
        </w:rPr>
      </w:pPr>
    </w:p>
    <w:p w14:paraId="00000003" w14:textId="77777777" w:rsidR="00923FCC" w:rsidRDefault="00923FCC">
      <w:pPr>
        <w:jc w:val="center"/>
        <w:rPr>
          <w:rFonts w:ascii="Arial" w:eastAsia="Arial" w:hAnsi="Arial" w:cs="Arial"/>
          <w:b/>
          <w:u w:val="single"/>
        </w:rPr>
      </w:pPr>
    </w:p>
    <w:p w14:paraId="00000004" w14:textId="77777777" w:rsidR="00923FCC" w:rsidRDefault="00651F08">
      <w:pPr>
        <w:jc w:val="center"/>
        <w:rPr>
          <w:rFonts w:ascii="Arial" w:eastAsia="Arial" w:hAnsi="Arial" w:cs="Arial"/>
          <w:b/>
          <w:u w:val="single"/>
        </w:rPr>
      </w:pPr>
      <w:r>
        <w:rPr>
          <w:rFonts w:ascii="Arial" w:eastAsia="Arial" w:hAnsi="Arial" w:cs="Arial"/>
          <w:b/>
          <w:u w:val="single"/>
        </w:rPr>
        <w:t>Terms of Reference (TOR)</w:t>
      </w:r>
    </w:p>
    <w:p w14:paraId="00000005" w14:textId="77777777" w:rsidR="00923FCC" w:rsidRDefault="00923FCC">
      <w:pPr>
        <w:pBdr>
          <w:top w:val="nil"/>
          <w:left w:val="nil"/>
          <w:bottom w:val="nil"/>
          <w:right w:val="nil"/>
          <w:between w:val="nil"/>
        </w:pBdr>
        <w:jc w:val="center"/>
        <w:rPr>
          <w:rFonts w:ascii="Arial" w:eastAsia="Arial" w:hAnsi="Arial" w:cs="Arial"/>
          <w:color w:val="000000"/>
        </w:rPr>
      </w:pPr>
    </w:p>
    <w:p w14:paraId="00000006" w14:textId="6D257542" w:rsidR="00923FCC" w:rsidRDefault="008D11AA">
      <w:pPr>
        <w:pBdr>
          <w:top w:val="nil"/>
          <w:left w:val="nil"/>
          <w:bottom w:val="nil"/>
          <w:right w:val="nil"/>
          <w:between w:val="nil"/>
        </w:pBdr>
        <w:jc w:val="center"/>
        <w:rPr>
          <w:rFonts w:ascii="Arial" w:eastAsia="Arial" w:hAnsi="Arial" w:cs="Arial"/>
          <w:b/>
          <w:color w:val="000000"/>
          <w:u w:val="single"/>
        </w:rPr>
      </w:pPr>
      <w:sdt>
        <w:sdtPr>
          <w:tag w:val="goog_rdk_0"/>
          <w:id w:val="1357615893"/>
          <w:showingPlcHdr/>
        </w:sdtPr>
        <w:sdtEndPr/>
        <w:sdtContent>
          <w:r w:rsidR="001517F3">
            <w:t xml:space="preserve">     </w:t>
          </w:r>
        </w:sdtContent>
      </w:sdt>
      <w:r w:rsidR="00651F08">
        <w:rPr>
          <w:rFonts w:ascii="Arial" w:eastAsia="Arial" w:hAnsi="Arial" w:cs="Arial"/>
          <w:b/>
          <w:color w:val="000000"/>
          <w:u w:val="single"/>
        </w:rPr>
        <w:t>Consultancy to Develop A National Capacity Development Plan (NCDP) in Response to Violence Against Women and Girls (VAWG) and Family Violence</w:t>
      </w:r>
    </w:p>
    <w:p w14:paraId="00000007" w14:textId="77777777" w:rsidR="00923FCC" w:rsidRDefault="00923FCC">
      <w:pPr>
        <w:jc w:val="both"/>
        <w:rPr>
          <w:rFonts w:ascii="Arial" w:eastAsia="Arial" w:hAnsi="Arial" w:cs="Arial"/>
          <w:b/>
          <w:color w:val="000000"/>
          <w:u w:val="single"/>
        </w:rPr>
      </w:pPr>
    </w:p>
    <w:p w14:paraId="00000008" w14:textId="77777777" w:rsidR="00923FCC" w:rsidRDefault="00923FCC">
      <w:pPr>
        <w:widowControl w:val="0"/>
        <w:jc w:val="both"/>
        <w:rPr>
          <w:rFonts w:ascii="Arial" w:eastAsia="Arial" w:hAnsi="Arial" w:cs="Arial"/>
          <w:b/>
        </w:rPr>
      </w:pPr>
    </w:p>
    <w:p w14:paraId="00000009" w14:textId="77777777" w:rsidR="00923FCC" w:rsidRDefault="00651F08">
      <w:pPr>
        <w:widowControl w:val="0"/>
        <w:jc w:val="both"/>
        <w:rPr>
          <w:rFonts w:ascii="Arial" w:eastAsia="Arial" w:hAnsi="Arial" w:cs="Arial"/>
        </w:rPr>
      </w:pPr>
      <w:r>
        <w:rPr>
          <w:rFonts w:ascii="Arial" w:eastAsia="Arial" w:hAnsi="Arial" w:cs="Arial"/>
          <w:b/>
        </w:rPr>
        <w:t>A. Project Title</w:t>
      </w:r>
      <w:r>
        <w:rPr>
          <w:rFonts w:ascii="Arial" w:eastAsia="Arial" w:hAnsi="Arial" w:cs="Arial"/>
        </w:rPr>
        <w:t xml:space="preserve">: Spotlight Initiative </w:t>
      </w:r>
    </w:p>
    <w:p w14:paraId="0000000A" w14:textId="77777777" w:rsidR="00923FCC" w:rsidRDefault="00923FCC">
      <w:pPr>
        <w:widowControl w:val="0"/>
        <w:jc w:val="both"/>
        <w:rPr>
          <w:rFonts w:ascii="Arial" w:eastAsia="Arial" w:hAnsi="Arial" w:cs="Arial"/>
          <w:b/>
        </w:rPr>
      </w:pPr>
    </w:p>
    <w:p w14:paraId="0000000B" w14:textId="77777777" w:rsidR="00923FCC" w:rsidRDefault="00651F08">
      <w:pPr>
        <w:widowControl w:val="0"/>
        <w:jc w:val="both"/>
        <w:rPr>
          <w:rFonts w:ascii="Arial" w:eastAsia="Arial" w:hAnsi="Arial" w:cs="Arial"/>
          <w:b/>
        </w:rPr>
      </w:pPr>
      <w:r>
        <w:rPr>
          <w:rFonts w:ascii="Arial" w:eastAsia="Arial" w:hAnsi="Arial" w:cs="Arial"/>
          <w:b/>
        </w:rPr>
        <w:t>B. Project Description</w:t>
      </w:r>
    </w:p>
    <w:p w14:paraId="0000000C" w14:textId="77777777" w:rsidR="00923FCC" w:rsidRDefault="00923FCC">
      <w:pPr>
        <w:widowControl w:val="0"/>
        <w:jc w:val="both"/>
        <w:rPr>
          <w:rFonts w:ascii="Arial" w:eastAsia="Arial" w:hAnsi="Arial" w:cs="Arial"/>
          <w:b/>
        </w:rPr>
      </w:pPr>
    </w:p>
    <w:p w14:paraId="0000000D" w14:textId="77777777" w:rsidR="00923FCC" w:rsidRDefault="00651F08">
      <w:pPr>
        <w:widowControl w:val="0"/>
        <w:jc w:val="both"/>
        <w:rPr>
          <w:rFonts w:ascii="Arial" w:eastAsia="Arial" w:hAnsi="Arial" w:cs="Arial"/>
        </w:rPr>
      </w:pPr>
      <w:r>
        <w:rPr>
          <w:rFonts w:ascii="Arial" w:eastAsia="Arial" w:hAnsi="Arial" w:cs="Arial"/>
        </w:rPr>
        <w:t>Spotlight Initiative Activity 2.1.1: Conduct capacity assessment at individual and institutional levels of relevant key state actors and CSOs to respond to family violence and develop a costed national capacity development plan based on findings from capacity assessment.</w:t>
      </w:r>
    </w:p>
    <w:p w14:paraId="0000000E" w14:textId="77777777" w:rsidR="00923FCC" w:rsidRDefault="00923FCC">
      <w:pPr>
        <w:widowControl w:val="0"/>
        <w:jc w:val="both"/>
        <w:rPr>
          <w:rFonts w:ascii="Arial" w:eastAsia="Arial" w:hAnsi="Arial" w:cs="Arial"/>
        </w:rPr>
      </w:pPr>
    </w:p>
    <w:p w14:paraId="0000000F" w14:textId="77777777" w:rsidR="00923FCC" w:rsidRDefault="00651F08">
      <w:pPr>
        <w:pBdr>
          <w:top w:val="nil"/>
          <w:left w:val="nil"/>
          <w:bottom w:val="nil"/>
          <w:right w:val="nil"/>
          <w:between w:val="nil"/>
        </w:pBdr>
        <w:spacing w:after="160" w:line="276" w:lineRule="auto"/>
        <w:jc w:val="both"/>
        <w:rPr>
          <w:rFonts w:ascii="Arial" w:eastAsia="Arial" w:hAnsi="Arial" w:cs="Arial"/>
          <w:color w:val="000000"/>
        </w:rPr>
      </w:pPr>
      <w:r>
        <w:rPr>
          <w:rFonts w:ascii="Arial" w:eastAsia="Arial" w:hAnsi="Arial" w:cs="Arial"/>
          <w:color w:val="000000"/>
        </w:rPr>
        <w:t>The Spotlight Initiative is a global, multi-year initiative launched by the European Union and the United Nations to eliminate all forms of violence against women and girls (VAWG). This initiative galvanizes political commitment at the highest levels and contributes to achieving the Sustainable Development Goals (SDGs), specifically Goal 5: Gender Equality, fully integrating the principle of “Leave No One Behind.” The initiative focuses on domestic and family violence and seeks to contribute to ending family violence by strengthening policy and legislations that will guarantee increased protection of women and girls, building the capacity of state and non-state actors to respond to family violence, expanding the range of services available and addressing social norms and behaviors that promote violence against women and girls.</w:t>
      </w:r>
    </w:p>
    <w:p w14:paraId="00000010" w14:textId="77777777" w:rsidR="00923FCC" w:rsidRDefault="00651F08">
      <w:pPr>
        <w:spacing w:line="276" w:lineRule="auto"/>
        <w:jc w:val="both"/>
        <w:rPr>
          <w:rFonts w:ascii="Arial" w:eastAsia="Arial" w:hAnsi="Arial" w:cs="Arial"/>
        </w:rPr>
      </w:pPr>
      <w:r>
        <w:rPr>
          <w:rFonts w:ascii="Arial" w:eastAsia="Arial" w:hAnsi="Arial" w:cs="Arial"/>
        </w:rPr>
        <w:t xml:space="preserve">Specifically, under Outcome 2: National and sub-national systems and institutions are to plan, fund and deliver evidence-based </w:t>
      </w:r>
      <w:proofErr w:type="spellStart"/>
      <w:r>
        <w:rPr>
          <w:rFonts w:ascii="Arial" w:eastAsia="Arial" w:hAnsi="Arial" w:cs="Arial"/>
        </w:rPr>
        <w:t>programmes</w:t>
      </w:r>
      <w:proofErr w:type="spellEnd"/>
      <w:r>
        <w:rPr>
          <w:rFonts w:ascii="Arial" w:eastAsia="Arial" w:hAnsi="Arial" w:cs="Arial"/>
        </w:rPr>
        <w:t xml:space="preserve"> that prevent and respond to violence against women and girls including family violence. The expected output is that key officials at national and/or sub-national levels in all relevant institutions are better able to develop and deliver evidence-based </w:t>
      </w:r>
      <w:proofErr w:type="spellStart"/>
      <w:r>
        <w:rPr>
          <w:rFonts w:ascii="Arial" w:eastAsia="Arial" w:hAnsi="Arial" w:cs="Arial"/>
        </w:rPr>
        <w:t>programmes</w:t>
      </w:r>
      <w:proofErr w:type="spellEnd"/>
      <w:r>
        <w:rPr>
          <w:rFonts w:ascii="Arial" w:eastAsia="Arial" w:hAnsi="Arial" w:cs="Arial"/>
        </w:rPr>
        <w:t xml:space="preserve"> that prevent and respond to VAWG, including family violence, especially for those groups of women and girls facing multiple and intersecting forms of discrimination.</w:t>
      </w:r>
    </w:p>
    <w:p w14:paraId="00000011" w14:textId="77777777" w:rsidR="00923FCC" w:rsidRDefault="00923FCC">
      <w:pPr>
        <w:spacing w:line="276" w:lineRule="auto"/>
        <w:jc w:val="both"/>
        <w:rPr>
          <w:rFonts w:ascii="Arial" w:eastAsia="Arial" w:hAnsi="Arial" w:cs="Arial"/>
        </w:rPr>
      </w:pPr>
    </w:p>
    <w:p w14:paraId="00000012" w14:textId="0127AD58" w:rsidR="00923FCC" w:rsidRDefault="00651F08">
      <w:pPr>
        <w:spacing w:line="276" w:lineRule="auto"/>
        <w:jc w:val="both"/>
        <w:rPr>
          <w:rFonts w:ascii="Arial" w:eastAsia="Arial" w:hAnsi="Arial" w:cs="Arial"/>
        </w:rPr>
      </w:pPr>
      <w:r>
        <w:rPr>
          <w:rFonts w:ascii="Arial" w:eastAsia="Arial" w:hAnsi="Arial" w:cs="Arial"/>
        </w:rPr>
        <w:t xml:space="preserve">This outcome and expected output </w:t>
      </w:r>
      <w:r w:rsidR="00922E3C">
        <w:rPr>
          <w:rFonts w:ascii="Arial" w:eastAsia="Arial" w:hAnsi="Arial" w:cs="Arial"/>
        </w:rPr>
        <w:t>are</w:t>
      </w:r>
      <w:r>
        <w:rPr>
          <w:rFonts w:ascii="Arial" w:eastAsia="Arial" w:hAnsi="Arial" w:cs="Arial"/>
        </w:rPr>
        <w:t xml:space="preserve"> an important focus of Spotlight as several capacity challenges have been identified in the response to VAWG. Capacity challenges have been identified at all levels, including, the national machinery for the advancement of women, which is under-resourced and understaffed. According to the CEDAW 2007 </w:t>
      </w:r>
      <w:r w:rsidR="00922E3C">
        <w:rPr>
          <w:rFonts w:ascii="Arial" w:eastAsia="Arial" w:hAnsi="Arial" w:cs="Arial"/>
        </w:rPr>
        <w:t>report, “</w:t>
      </w:r>
      <w:r>
        <w:rPr>
          <w:rFonts w:ascii="Arial" w:eastAsia="Arial" w:hAnsi="Arial" w:cs="Arial"/>
          <w:i/>
        </w:rPr>
        <w:t xml:space="preserve">The Committee is concerned about the scarcity of personnel at the district level to promote gender equality. It remains concerned about the absence of mechanisms to </w:t>
      </w:r>
      <w:r>
        <w:rPr>
          <w:rFonts w:ascii="Arial" w:eastAsia="Arial" w:hAnsi="Arial" w:cs="Arial"/>
          <w:i/>
        </w:rPr>
        <w:lastRenderedPageBreak/>
        <w:t xml:space="preserve">monitor implementation of the Convention and evaluate the impact of laws, policies and </w:t>
      </w:r>
      <w:proofErr w:type="spellStart"/>
      <w:r>
        <w:rPr>
          <w:rFonts w:ascii="Arial" w:eastAsia="Arial" w:hAnsi="Arial" w:cs="Arial"/>
          <w:i/>
        </w:rPr>
        <w:t>programmes</w:t>
      </w:r>
      <w:proofErr w:type="spellEnd"/>
      <w:r>
        <w:rPr>
          <w:rFonts w:ascii="Arial" w:eastAsia="Arial" w:hAnsi="Arial" w:cs="Arial"/>
          <w:i/>
        </w:rPr>
        <w:t xml:space="preserve"> on the achievement of women’s equality</w:t>
      </w:r>
      <w:r>
        <w:rPr>
          <w:rFonts w:ascii="Arial" w:eastAsia="Arial" w:hAnsi="Arial" w:cs="Arial"/>
        </w:rPr>
        <w:t xml:space="preserve">” (CEDAW 2007). </w:t>
      </w:r>
    </w:p>
    <w:p w14:paraId="00000013" w14:textId="77777777" w:rsidR="00923FCC" w:rsidRDefault="00651F08">
      <w:pPr>
        <w:spacing w:line="276" w:lineRule="auto"/>
        <w:jc w:val="both"/>
        <w:rPr>
          <w:rFonts w:ascii="Arial" w:eastAsia="Arial" w:hAnsi="Arial" w:cs="Arial"/>
        </w:rPr>
      </w:pPr>
      <w:r>
        <w:rPr>
          <w:rFonts w:ascii="Arial" w:eastAsia="Arial" w:hAnsi="Arial" w:cs="Arial"/>
        </w:rPr>
        <w:t xml:space="preserve">While there has been some advances such as an increase in human resources, increased capacity of staff through ongoing training, and improvements in the capacity of the ministry responsible to monitor and evaluate the impacts of laws, policies and </w:t>
      </w:r>
      <w:proofErr w:type="spellStart"/>
      <w:r>
        <w:rPr>
          <w:rFonts w:ascii="Arial" w:eastAsia="Arial" w:hAnsi="Arial" w:cs="Arial"/>
        </w:rPr>
        <w:t>programme</w:t>
      </w:r>
      <w:proofErr w:type="spellEnd"/>
      <w:r>
        <w:rPr>
          <w:rFonts w:ascii="Arial" w:eastAsia="Arial" w:hAnsi="Arial" w:cs="Arial"/>
        </w:rPr>
        <w:t xml:space="preserve"> on the achievement of women’s equality, the main areas that still require attention are; multi-sectoral coordination, planning and gender mainstreaming at the national and district levels and additional human and financial resources, particularly at the district level. </w:t>
      </w:r>
    </w:p>
    <w:p w14:paraId="00000014" w14:textId="77777777" w:rsidR="00923FCC" w:rsidRDefault="00923FCC">
      <w:pPr>
        <w:spacing w:line="276" w:lineRule="auto"/>
        <w:jc w:val="both"/>
        <w:rPr>
          <w:rFonts w:ascii="Arial" w:eastAsia="Arial" w:hAnsi="Arial" w:cs="Arial"/>
        </w:rPr>
      </w:pPr>
    </w:p>
    <w:p w14:paraId="00000015" w14:textId="77777777" w:rsidR="00923FCC" w:rsidRDefault="00651F08">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With that underpinning, this terms of reference under the technical guidance and management of United Nations Development </w:t>
      </w:r>
      <w:proofErr w:type="spellStart"/>
      <w:r>
        <w:rPr>
          <w:rFonts w:ascii="Arial" w:eastAsia="Arial" w:hAnsi="Arial" w:cs="Arial"/>
          <w:color w:val="000000"/>
        </w:rPr>
        <w:t>Programme</w:t>
      </w:r>
      <w:proofErr w:type="spellEnd"/>
      <w:r>
        <w:rPr>
          <w:rFonts w:ascii="Arial" w:eastAsia="Arial" w:hAnsi="Arial" w:cs="Arial"/>
          <w:color w:val="000000"/>
        </w:rPr>
        <w:t xml:space="preserve"> (UNDP) will seek to addresses these identified challenges through Activity 2.1.1: which aims to support a consultancy to conduct a capacity assessment at the individual and institutional levels of relevant key state actors and CSOs to respond to family violence and develop a costed national capacity development plan based on findings from the capacity assessment.  </w:t>
      </w:r>
    </w:p>
    <w:p w14:paraId="00000016" w14:textId="77777777" w:rsidR="00923FCC" w:rsidRDefault="00923FCC">
      <w:pPr>
        <w:pBdr>
          <w:top w:val="nil"/>
          <w:left w:val="nil"/>
          <w:bottom w:val="nil"/>
          <w:right w:val="nil"/>
          <w:between w:val="nil"/>
        </w:pBdr>
        <w:spacing w:line="276" w:lineRule="auto"/>
        <w:jc w:val="both"/>
        <w:rPr>
          <w:rFonts w:ascii="Arial" w:eastAsia="Arial" w:hAnsi="Arial" w:cs="Arial"/>
          <w:color w:val="000000"/>
        </w:rPr>
      </w:pPr>
    </w:p>
    <w:p w14:paraId="00000017" w14:textId="77777777" w:rsidR="00923FCC" w:rsidRPr="007330A8" w:rsidRDefault="00651F08">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 xml:space="preserve">Underpinning this activity, the consultant will utilize the findings of the mapping of state and non-state actors involved in </w:t>
      </w:r>
      <w:proofErr w:type="spellStart"/>
      <w:r>
        <w:rPr>
          <w:rFonts w:ascii="Arial" w:eastAsia="Arial" w:hAnsi="Arial" w:cs="Arial"/>
          <w:color w:val="000000"/>
        </w:rPr>
        <w:t>programme</w:t>
      </w:r>
      <w:proofErr w:type="spellEnd"/>
      <w:r>
        <w:rPr>
          <w:rFonts w:ascii="Arial" w:eastAsia="Arial" w:hAnsi="Arial" w:cs="Arial"/>
          <w:color w:val="000000"/>
        </w:rPr>
        <w:t xml:space="preserve"> and service delivery related to VAWG</w:t>
      </w:r>
      <w:r>
        <w:rPr>
          <w:color w:val="000000"/>
          <w:sz w:val="22"/>
          <w:szCs w:val="22"/>
        </w:rPr>
        <w:t xml:space="preserve"> </w:t>
      </w:r>
      <w:r>
        <w:rPr>
          <w:rFonts w:ascii="Arial" w:eastAsia="Arial" w:hAnsi="Arial" w:cs="Arial"/>
          <w:color w:val="000000"/>
        </w:rPr>
        <w:t>aligned with Outcomes 3 and 4 i.e. prevention, service delivery and social norm change. This ensure</w:t>
      </w:r>
      <w:r>
        <w:rPr>
          <w:rFonts w:ascii="Arial" w:eastAsia="Arial" w:hAnsi="Arial" w:cs="Arial"/>
        </w:rPr>
        <w:t>s</w:t>
      </w:r>
      <w:r>
        <w:rPr>
          <w:rFonts w:ascii="Arial" w:eastAsia="Arial" w:hAnsi="Arial" w:cs="Arial"/>
          <w:color w:val="000000"/>
        </w:rPr>
        <w:t xml:space="preserve"> that all actors who are engaged in district level coordination, planning and capacity building activities are included in the capacity assessment and subsequent plan. </w:t>
      </w:r>
      <w:r w:rsidRPr="007330A8">
        <w:rPr>
          <w:rFonts w:ascii="Arial" w:eastAsia="Arial" w:hAnsi="Arial" w:cs="Arial"/>
          <w:color w:val="000000"/>
        </w:rPr>
        <w:t xml:space="preserve">The results and recommendations of the mapping exercise along with the findings of the capacity assessment of </w:t>
      </w:r>
      <w:r w:rsidRPr="007330A8">
        <w:rPr>
          <w:rFonts w:ascii="Arial" w:eastAsia="Arial" w:hAnsi="Arial" w:cs="Arial"/>
        </w:rPr>
        <w:t xml:space="preserve">key state actors and CSOs to respond to family violence </w:t>
      </w:r>
      <w:r w:rsidRPr="007330A8">
        <w:rPr>
          <w:rFonts w:ascii="Arial" w:eastAsia="Arial" w:hAnsi="Arial" w:cs="Arial"/>
          <w:color w:val="000000"/>
        </w:rPr>
        <w:t>will bot</w:t>
      </w:r>
      <w:r w:rsidRPr="007330A8">
        <w:rPr>
          <w:rFonts w:ascii="Arial" w:eastAsia="Arial" w:hAnsi="Arial" w:cs="Arial"/>
        </w:rPr>
        <w:t xml:space="preserve">h </w:t>
      </w:r>
      <w:r w:rsidRPr="007330A8">
        <w:rPr>
          <w:rFonts w:ascii="Arial" w:eastAsia="Arial" w:hAnsi="Arial" w:cs="Arial"/>
          <w:color w:val="000000"/>
        </w:rPr>
        <w:t xml:space="preserve">prioritize actions for the development of the NCDP. </w:t>
      </w:r>
    </w:p>
    <w:p w14:paraId="00000018" w14:textId="77777777" w:rsidR="00923FCC" w:rsidRDefault="00651F08">
      <w:pPr>
        <w:pBdr>
          <w:top w:val="nil"/>
          <w:left w:val="nil"/>
          <w:bottom w:val="nil"/>
          <w:right w:val="nil"/>
          <w:between w:val="nil"/>
        </w:pBdr>
        <w:spacing w:line="276" w:lineRule="auto"/>
        <w:jc w:val="both"/>
        <w:rPr>
          <w:rFonts w:ascii="Arial" w:eastAsia="Arial" w:hAnsi="Arial" w:cs="Arial"/>
          <w:color w:val="000000"/>
        </w:rPr>
      </w:pPr>
      <w:bookmarkStart w:id="0" w:name="_heading=h.gjdgxs" w:colFirst="0" w:colLast="0"/>
      <w:bookmarkEnd w:id="0"/>
      <w:r>
        <w:rPr>
          <w:rFonts w:ascii="Arial" w:eastAsia="Arial" w:hAnsi="Arial" w:cs="Arial"/>
          <w:color w:val="000000"/>
        </w:rPr>
        <w:t xml:space="preserve">The (NCDP) is to address the needs of the different organizations such as the Police Department, Judiciary, Social Workers, Health Care providers, CSOs and other relevant organizations </w:t>
      </w:r>
      <w:r>
        <w:rPr>
          <w:rFonts w:ascii="Arial" w:eastAsia="Arial" w:hAnsi="Arial" w:cs="Arial"/>
        </w:rPr>
        <w:t>strengthening the social</w:t>
      </w:r>
      <w:r>
        <w:rPr>
          <w:rFonts w:ascii="Arial" w:eastAsia="Arial" w:hAnsi="Arial" w:cs="Arial"/>
          <w:color w:val="000000"/>
        </w:rPr>
        <w:t xml:space="preserve"> sector workforce in order to support effective </w:t>
      </w:r>
      <w:proofErr w:type="spellStart"/>
      <w:r>
        <w:rPr>
          <w:rFonts w:ascii="Arial" w:eastAsia="Arial" w:hAnsi="Arial" w:cs="Arial"/>
          <w:color w:val="000000"/>
        </w:rPr>
        <w:t>programme</w:t>
      </w:r>
      <w:proofErr w:type="spellEnd"/>
      <w:r>
        <w:rPr>
          <w:rFonts w:ascii="Arial" w:eastAsia="Arial" w:hAnsi="Arial" w:cs="Arial"/>
          <w:color w:val="000000"/>
        </w:rPr>
        <w:t xml:space="preserve"> and service delivery under  Outcomes 3 and 4. Efforts will be made to ensure that capacity strengthening goes beyond the regular capacity building activities but that it is truly gender transformative and changes deeply rooted beliefs, attitudes and norms among individuals and institutions.</w:t>
      </w:r>
      <w:r>
        <w:rPr>
          <w:color w:val="000000"/>
          <w:sz w:val="22"/>
          <w:szCs w:val="22"/>
        </w:rPr>
        <w:t xml:space="preserve"> </w:t>
      </w:r>
      <w:r>
        <w:rPr>
          <w:rFonts w:ascii="Arial" w:eastAsia="Arial" w:hAnsi="Arial" w:cs="Arial"/>
          <w:color w:val="000000"/>
        </w:rPr>
        <w:t>Additionally, efforts will be made to ensure that the design and implementation of the capacity building plan is inclusive, within the context of th</w:t>
      </w:r>
      <w:r>
        <w:rPr>
          <w:rFonts w:ascii="Arial" w:eastAsia="Arial" w:hAnsi="Arial" w:cs="Arial"/>
        </w:rPr>
        <w:t>e principle of leaving</w:t>
      </w:r>
      <w:r>
        <w:rPr>
          <w:rFonts w:ascii="Arial" w:eastAsia="Arial" w:hAnsi="Arial" w:cs="Arial"/>
          <w:color w:val="000000"/>
        </w:rPr>
        <w:t xml:space="preserve"> no one behind</w:t>
      </w:r>
      <w:r>
        <w:rPr>
          <w:rFonts w:ascii="Arial" w:eastAsia="Arial" w:hAnsi="Arial" w:cs="Arial"/>
        </w:rPr>
        <w:t xml:space="preserve"> and sustainable beyond the life of Spotlight Initiative.</w:t>
      </w:r>
    </w:p>
    <w:p w14:paraId="00000019" w14:textId="77777777" w:rsidR="00923FCC" w:rsidRDefault="00923FCC">
      <w:pPr>
        <w:pBdr>
          <w:top w:val="nil"/>
          <w:left w:val="nil"/>
          <w:bottom w:val="nil"/>
          <w:right w:val="nil"/>
          <w:between w:val="nil"/>
        </w:pBdr>
        <w:spacing w:line="276" w:lineRule="auto"/>
        <w:jc w:val="both"/>
        <w:rPr>
          <w:rFonts w:ascii="Arial" w:eastAsia="Arial" w:hAnsi="Arial" w:cs="Arial"/>
          <w:color w:val="000000"/>
        </w:rPr>
      </w:pPr>
    </w:p>
    <w:p w14:paraId="0000001A" w14:textId="19C61D40" w:rsidR="00923FCC" w:rsidRDefault="00651F08">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UNDPs Capacity Assessment and Development tool will be used in</w:t>
      </w:r>
      <w:r>
        <w:rPr>
          <w:rFonts w:ascii="Arial" w:eastAsia="Arial" w:hAnsi="Arial" w:cs="Arial"/>
        </w:rPr>
        <w:t xml:space="preserve"> the </w:t>
      </w:r>
      <w:r w:rsidRPr="007330A8">
        <w:rPr>
          <w:rFonts w:ascii="Arial" w:eastAsia="Arial" w:hAnsi="Arial" w:cs="Arial"/>
          <w:color w:val="000000"/>
        </w:rPr>
        <w:t xml:space="preserve">assessment of </w:t>
      </w:r>
      <w:r w:rsidRPr="007330A8">
        <w:rPr>
          <w:rFonts w:ascii="Arial" w:eastAsia="Arial" w:hAnsi="Arial" w:cs="Arial"/>
        </w:rPr>
        <w:t xml:space="preserve">key state actors and CSOs to respond to family violence </w:t>
      </w:r>
      <w:r w:rsidRPr="007330A8">
        <w:rPr>
          <w:rFonts w:ascii="Arial" w:eastAsia="Arial" w:hAnsi="Arial" w:cs="Arial"/>
          <w:color w:val="000000"/>
        </w:rPr>
        <w:t>and the fo</w:t>
      </w:r>
      <w:r>
        <w:rPr>
          <w:rFonts w:ascii="Arial" w:eastAsia="Arial" w:hAnsi="Arial" w:cs="Arial"/>
          <w:color w:val="000000"/>
        </w:rPr>
        <w:t xml:space="preserve">rmulation of the costed NCDP. The tool’s approach requires a comprehensive understanding of capacity in both a strategic management context and at various levels: the individual level, the level of the organization or entity and the level of the broader system or enabling environment within </w:t>
      </w:r>
      <w:r>
        <w:rPr>
          <w:rFonts w:ascii="Arial" w:eastAsia="Arial" w:hAnsi="Arial" w:cs="Arial"/>
          <w:color w:val="000000"/>
        </w:rPr>
        <w:lastRenderedPageBreak/>
        <w:t xml:space="preserve">which entities and individuals’ function. The guidelines in the tool examine varying dimensions of capacity at each level, all of which need to be integrated with each other. </w:t>
      </w:r>
    </w:p>
    <w:p w14:paraId="0000001B" w14:textId="77777777" w:rsidR="00923FCC" w:rsidRDefault="00923FCC">
      <w:pPr>
        <w:pBdr>
          <w:top w:val="nil"/>
          <w:left w:val="nil"/>
          <w:bottom w:val="nil"/>
          <w:right w:val="nil"/>
          <w:between w:val="nil"/>
        </w:pBdr>
        <w:spacing w:line="276" w:lineRule="auto"/>
        <w:jc w:val="both"/>
        <w:rPr>
          <w:rFonts w:ascii="Arial" w:eastAsia="Arial" w:hAnsi="Arial" w:cs="Arial"/>
          <w:color w:val="000000"/>
        </w:rPr>
      </w:pPr>
    </w:p>
    <w:p w14:paraId="0000001D" w14:textId="77777777" w:rsidR="00923FCC" w:rsidRDefault="00651F08">
      <w:pPr>
        <w:numPr>
          <w:ilvl w:val="0"/>
          <w:numId w:val="6"/>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Scope of Work</w:t>
      </w:r>
    </w:p>
    <w:p w14:paraId="0000001E" w14:textId="77777777" w:rsidR="00923FCC" w:rsidRDefault="00923FCC">
      <w:pPr>
        <w:pBdr>
          <w:top w:val="nil"/>
          <w:left w:val="nil"/>
          <w:bottom w:val="nil"/>
          <w:right w:val="nil"/>
          <w:between w:val="nil"/>
        </w:pBdr>
        <w:jc w:val="both"/>
        <w:rPr>
          <w:rFonts w:ascii="Arial" w:eastAsia="Arial" w:hAnsi="Arial" w:cs="Arial"/>
        </w:rPr>
      </w:pPr>
    </w:p>
    <w:p w14:paraId="0000001F" w14:textId="77777777" w:rsidR="00923FCC" w:rsidRDefault="00651F08">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Consultancy to Develop A National Capacity Development Plan (NCDP) will be conducted under the supervision of the UNDP </w:t>
      </w:r>
      <w:proofErr w:type="spellStart"/>
      <w:r>
        <w:rPr>
          <w:rFonts w:ascii="Arial" w:eastAsia="Arial" w:hAnsi="Arial" w:cs="Arial"/>
          <w:color w:val="000000"/>
        </w:rPr>
        <w:t>Programme</w:t>
      </w:r>
      <w:proofErr w:type="spellEnd"/>
      <w:r>
        <w:rPr>
          <w:rFonts w:ascii="Arial" w:eastAsia="Arial" w:hAnsi="Arial" w:cs="Arial"/>
          <w:color w:val="000000"/>
        </w:rPr>
        <w:t xml:space="preserve"> Officer of the Governance Unit. </w:t>
      </w:r>
    </w:p>
    <w:p w14:paraId="00000020" w14:textId="77777777" w:rsidR="00923FCC" w:rsidRDefault="00923FCC">
      <w:pPr>
        <w:pBdr>
          <w:top w:val="nil"/>
          <w:left w:val="nil"/>
          <w:bottom w:val="nil"/>
          <w:right w:val="nil"/>
          <w:between w:val="nil"/>
        </w:pBdr>
        <w:jc w:val="both"/>
        <w:rPr>
          <w:rFonts w:ascii="Arial" w:eastAsia="Arial" w:hAnsi="Arial" w:cs="Arial"/>
          <w:color w:val="000000"/>
        </w:rPr>
      </w:pPr>
    </w:p>
    <w:p w14:paraId="00000021" w14:textId="18B0B5BF" w:rsidR="00923FCC" w:rsidRDefault="00651F08">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Conduct stakeholder analysis to determine who should be involved and the nature of their involvement (roles, responsibilities, accountabilities, direct or indirect involvement). The scope of actors from the mapping of state and non-state actors will form a stakeholder base for this analysis</w:t>
      </w:r>
      <w:r>
        <w:rPr>
          <w:rFonts w:ascii="Arial" w:eastAsia="Arial" w:hAnsi="Arial" w:cs="Arial"/>
        </w:rPr>
        <w:t xml:space="preserve"> along with feedback and recommendations from previous consultations. </w:t>
      </w:r>
      <w:r>
        <w:rPr>
          <w:rFonts w:ascii="Arial" w:eastAsia="Arial" w:hAnsi="Arial" w:cs="Arial"/>
          <w:color w:val="000000"/>
        </w:rPr>
        <w:t xml:space="preserve"> </w:t>
      </w:r>
    </w:p>
    <w:p w14:paraId="4E391B81" w14:textId="77777777" w:rsidR="00224864" w:rsidRDefault="00224864" w:rsidP="00224864">
      <w:pPr>
        <w:pBdr>
          <w:top w:val="nil"/>
          <w:left w:val="nil"/>
          <w:bottom w:val="nil"/>
          <w:right w:val="nil"/>
          <w:between w:val="nil"/>
        </w:pBdr>
        <w:ind w:left="1080"/>
        <w:jc w:val="both"/>
        <w:rPr>
          <w:rFonts w:ascii="Arial" w:eastAsia="Arial" w:hAnsi="Arial" w:cs="Arial"/>
          <w:color w:val="000000"/>
        </w:rPr>
      </w:pPr>
    </w:p>
    <w:p w14:paraId="00000022" w14:textId="6A96A9B4" w:rsidR="00923FCC" w:rsidRPr="007330A8" w:rsidRDefault="00651F08">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Offer methodology (conceptual framework based on the UNDPs Capacity Assessment and Development Tool) that would capture capacities and readiness of individuals/institutions/societal (availability, accessibility, responsiveness, adaptability, appropriateness, quality and gaps identified), including financial and physical deficiency assets. </w:t>
      </w:r>
      <w:r w:rsidRPr="007330A8">
        <w:rPr>
          <w:rFonts w:ascii="Arial" w:eastAsia="Arial" w:hAnsi="Arial" w:cs="Arial"/>
        </w:rPr>
        <w:t xml:space="preserve">The Capacity Assessment Tool will assist in determining readiness of the different sectors including but not limited to the priority sector such as the Judiciary, Police Department, Social Workers, Health Care providers, CSOs and other relevant organizations. Based on the findings and gaps identified by the Capacity Assessment develop recommendations for national capacity development. </w:t>
      </w:r>
    </w:p>
    <w:p w14:paraId="00000023" w14:textId="77777777" w:rsidR="00923FCC" w:rsidRDefault="00923FCC">
      <w:pPr>
        <w:pBdr>
          <w:top w:val="nil"/>
          <w:left w:val="nil"/>
          <w:bottom w:val="nil"/>
          <w:right w:val="nil"/>
          <w:between w:val="nil"/>
        </w:pBdr>
        <w:jc w:val="both"/>
        <w:rPr>
          <w:rFonts w:ascii="Arial" w:eastAsia="Arial" w:hAnsi="Arial" w:cs="Arial"/>
        </w:rPr>
      </w:pPr>
    </w:p>
    <w:p w14:paraId="00000024" w14:textId="7FE109C3" w:rsidR="00923FCC" w:rsidRDefault="00651F08">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Develop a costed </w:t>
      </w:r>
      <w:r>
        <w:rPr>
          <w:rFonts w:ascii="Arial" w:eastAsia="Arial" w:hAnsi="Arial" w:cs="Arial"/>
        </w:rPr>
        <w:t>NCDP</w:t>
      </w:r>
      <w:r>
        <w:rPr>
          <w:rFonts w:ascii="Arial" w:eastAsia="Arial" w:hAnsi="Arial" w:cs="Arial"/>
          <w:color w:val="000000"/>
        </w:rPr>
        <w:t xml:space="preserve"> guided by the results and recommendations of the mapping exercise, stakeholder analysis and identified areas for prioritization.   </w:t>
      </w:r>
    </w:p>
    <w:p w14:paraId="77407F3D" w14:textId="77777777" w:rsidR="00224864" w:rsidRDefault="00224864" w:rsidP="00224864">
      <w:pPr>
        <w:pBdr>
          <w:top w:val="nil"/>
          <w:left w:val="nil"/>
          <w:bottom w:val="nil"/>
          <w:right w:val="nil"/>
          <w:between w:val="nil"/>
        </w:pBdr>
        <w:jc w:val="both"/>
        <w:rPr>
          <w:rFonts w:ascii="Arial" w:eastAsia="Arial" w:hAnsi="Arial" w:cs="Arial"/>
          <w:color w:val="000000"/>
        </w:rPr>
      </w:pPr>
    </w:p>
    <w:p w14:paraId="00000025" w14:textId="77777777" w:rsidR="00923FCC" w:rsidRDefault="00651F08">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Facilitate validation sessions with stakeholders on the draft </w:t>
      </w:r>
      <w:r>
        <w:rPr>
          <w:rFonts w:ascii="Arial" w:eastAsia="Arial" w:hAnsi="Arial" w:cs="Arial"/>
        </w:rPr>
        <w:t>NCDP</w:t>
      </w:r>
      <w:r>
        <w:rPr>
          <w:rFonts w:ascii="Arial" w:eastAsia="Arial" w:hAnsi="Arial" w:cs="Arial"/>
          <w:color w:val="000000"/>
        </w:rPr>
        <w:t xml:space="preserve"> inclusive of gaps, recommendations, readiness assessment and costing.</w:t>
      </w:r>
    </w:p>
    <w:p w14:paraId="00000026" w14:textId="77777777" w:rsidR="00923FCC" w:rsidRDefault="00923FCC">
      <w:pPr>
        <w:jc w:val="both"/>
        <w:rPr>
          <w:rFonts w:ascii="Arial" w:eastAsia="Arial" w:hAnsi="Arial" w:cs="Arial"/>
        </w:rPr>
      </w:pPr>
    </w:p>
    <w:p w14:paraId="00000027" w14:textId="77777777" w:rsidR="00923FCC" w:rsidRDefault="00923FCC">
      <w:pPr>
        <w:pBdr>
          <w:top w:val="nil"/>
          <w:left w:val="nil"/>
          <w:bottom w:val="nil"/>
          <w:right w:val="nil"/>
          <w:between w:val="nil"/>
        </w:pBdr>
        <w:ind w:left="1080"/>
        <w:jc w:val="both"/>
        <w:rPr>
          <w:rFonts w:ascii="Arial" w:eastAsia="Arial" w:hAnsi="Arial" w:cs="Arial"/>
          <w:color w:val="000000"/>
        </w:rPr>
      </w:pPr>
    </w:p>
    <w:p w14:paraId="00000028" w14:textId="77777777" w:rsidR="00923FCC" w:rsidRDefault="00651F08">
      <w:pPr>
        <w:numPr>
          <w:ilvl w:val="0"/>
          <w:numId w:val="6"/>
        </w:numPr>
        <w:pBdr>
          <w:top w:val="nil"/>
          <w:left w:val="nil"/>
          <w:bottom w:val="nil"/>
          <w:right w:val="nil"/>
          <w:between w:val="nil"/>
        </w:pBdr>
      </w:pPr>
      <w:r>
        <w:rPr>
          <w:rFonts w:ascii="Arial" w:eastAsia="Arial" w:hAnsi="Arial" w:cs="Arial"/>
          <w:b/>
          <w:color w:val="000000"/>
        </w:rPr>
        <w:t xml:space="preserve">Excepted Outputs </w:t>
      </w:r>
    </w:p>
    <w:p w14:paraId="00000029" w14:textId="77777777" w:rsidR="00923FCC" w:rsidRDefault="00923FCC">
      <w:pPr>
        <w:jc w:val="both"/>
        <w:rPr>
          <w:rFonts w:ascii="Arial" w:eastAsia="Arial" w:hAnsi="Arial" w:cs="Arial"/>
        </w:rPr>
      </w:pPr>
    </w:p>
    <w:p w14:paraId="0000002A" w14:textId="77777777" w:rsidR="00923FCC" w:rsidRDefault="00651F08">
      <w:pPr>
        <w:jc w:val="both"/>
        <w:rPr>
          <w:rFonts w:ascii="Arial" w:eastAsia="Arial" w:hAnsi="Arial" w:cs="Arial"/>
        </w:rPr>
      </w:pPr>
      <w:r>
        <w:rPr>
          <w:rFonts w:ascii="Arial" w:eastAsia="Arial" w:hAnsi="Arial" w:cs="Arial"/>
        </w:rPr>
        <w:t xml:space="preserve">The following will be the expected outputs: </w:t>
      </w:r>
    </w:p>
    <w:p w14:paraId="0000002B" w14:textId="4E5EB716" w:rsidR="00923FCC" w:rsidRDefault="00651F08">
      <w:pPr>
        <w:numPr>
          <w:ilvl w:val="1"/>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Submission and Presentation of Inception Report outlining Conceptual framework, methodology and work plan breakdown structure</w:t>
      </w:r>
    </w:p>
    <w:p w14:paraId="0000002C" w14:textId="3F81ABAE" w:rsidR="00923FCC" w:rsidRDefault="00651F08">
      <w:pPr>
        <w:numPr>
          <w:ilvl w:val="1"/>
          <w:numId w:val="6"/>
        </w:numPr>
        <w:pBdr>
          <w:top w:val="nil"/>
          <w:left w:val="nil"/>
          <w:bottom w:val="nil"/>
          <w:right w:val="nil"/>
          <w:between w:val="nil"/>
        </w:pBdr>
        <w:spacing w:line="259" w:lineRule="auto"/>
        <w:jc w:val="both"/>
        <w:rPr>
          <w:rFonts w:ascii="Arial" w:eastAsia="Arial" w:hAnsi="Arial" w:cs="Arial"/>
          <w:color w:val="000000"/>
        </w:rPr>
      </w:pPr>
      <w:r w:rsidRPr="007330A8">
        <w:rPr>
          <w:rFonts w:ascii="Arial" w:eastAsia="Arial" w:hAnsi="Arial" w:cs="Arial"/>
        </w:rPr>
        <w:t>Interim Report on Capacity Assessment</w:t>
      </w:r>
      <w:r w:rsidR="001F7BDD">
        <w:rPr>
          <w:rFonts w:ascii="Arial" w:eastAsia="Arial" w:hAnsi="Arial" w:cs="Arial"/>
          <w:u w:val="single"/>
        </w:rPr>
        <w:t xml:space="preserve"> </w:t>
      </w:r>
      <w:r>
        <w:rPr>
          <w:rFonts w:ascii="Arial" w:eastAsia="Arial" w:hAnsi="Arial" w:cs="Arial"/>
        </w:rPr>
        <w:t xml:space="preserve">and </w:t>
      </w:r>
      <w:r>
        <w:rPr>
          <w:rFonts w:ascii="Arial" w:eastAsia="Arial" w:hAnsi="Arial" w:cs="Arial"/>
          <w:color w:val="000000"/>
        </w:rPr>
        <w:t xml:space="preserve">Capacity Development field consultation visits </w:t>
      </w:r>
    </w:p>
    <w:p w14:paraId="0000002D" w14:textId="77777777" w:rsidR="00923FCC" w:rsidRDefault="00651F08">
      <w:pPr>
        <w:numPr>
          <w:ilvl w:val="1"/>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Draft Capacity Development Plan inclusive of gaps and recommendations from </w:t>
      </w:r>
      <w:r w:rsidRPr="007330A8">
        <w:rPr>
          <w:rFonts w:ascii="Arial" w:eastAsia="Arial" w:hAnsi="Arial" w:cs="Arial"/>
        </w:rPr>
        <w:t xml:space="preserve">capacity </w:t>
      </w:r>
      <w:r w:rsidRPr="007330A8">
        <w:rPr>
          <w:rFonts w:ascii="Arial" w:eastAsia="Arial" w:hAnsi="Arial" w:cs="Arial"/>
          <w:color w:val="000000"/>
        </w:rPr>
        <w:t>assessment</w:t>
      </w:r>
    </w:p>
    <w:p w14:paraId="0000002E" w14:textId="77777777" w:rsidR="00923FCC" w:rsidRDefault="00651F08">
      <w:pPr>
        <w:numPr>
          <w:ilvl w:val="1"/>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Conduct Validation sessions with key stakeholders</w:t>
      </w:r>
    </w:p>
    <w:p w14:paraId="0000002F" w14:textId="77777777" w:rsidR="00923FCC" w:rsidRDefault="00651F08">
      <w:pPr>
        <w:numPr>
          <w:ilvl w:val="1"/>
          <w:numId w:val="6"/>
        </w:numPr>
        <w:pBdr>
          <w:top w:val="nil"/>
          <w:left w:val="nil"/>
          <w:bottom w:val="nil"/>
          <w:right w:val="nil"/>
          <w:between w:val="nil"/>
        </w:pBdr>
        <w:spacing w:after="160" w:line="259" w:lineRule="auto"/>
        <w:jc w:val="both"/>
        <w:rPr>
          <w:rFonts w:ascii="Arial" w:eastAsia="Arial" w:hAnsi="Arial" w:cs="Arial"/>
          <w:color w:val="000000"/>
        </w:rPr>
      </w:pPr>
      <w:r>
        <w:rPr>
          <w:rFonts w:ascii="Arial" w:eastAsia="Arial" w:hAnsi="Arial" w:cs="Arial"/>
          <w:color w:val="000000"/>
        </w:rPr>
        <w:t>Final Costed Capacity Development Plan</w:t>
      </w:r>
    </w:p>
    <w:p w14:paraId="00000030" w14:textId="77777777" w:rsidR="00923FCC" w:rsidRDefault="00923FCC">
      <w:pPr>
        <w:spacing w:line="276" w:lineRule="auto"/>
        <w:rPr>
          <w:rFonts w:ascii="Arial" w:eastAsia="Arial" w:hAnsi="Arial" w:cs="Arial"/>
          <w:sz w:val="20"/>
          <w:szCs w:val="20"/>
        </w:rPr>
      </w:pPr>
    </w:p>
    <w:p w14:paraId="00000031" w14:textId="77777777" w:rsidR="00923FCC" w:rsidRDefault="00651F08">
      <w:pPr>
        <w:spacing w:line="276" w:lineRule="auto"/>
        <w:rPr>
          <w:rFonts w:ascii="Arial" w:eastAsia="Arial" w:hAnsi="Arial" w:cs="Arial"/>
          <w:sz w:val="20"/>
          <w:szCs w:val="20"/>
        </w:rPr>
      </w:pPr>
      <w:r>
        <w:rPr>
          <w:rFonts w:ascii="Arial" w:eastAsia="Arial" w:hAnsi="Arial" w:cs="Arial"/>
          <w:sz w:val="20"/>
          <w:szCs w:val="20"/>
        </w:rPr>
        <w:lastRenderedPageBreak/>
        <w:t xml:space="preserve">**Branding guidelines will be provided by the Spotlight Communication Officer. </w:t>
      </w:r>
    </w:p>
    <w:tbl>
      <w:tblPr>
        <w:tblStyle w:val="a"/>
        <w:tblW w:w="97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7"/>
        <w:gridCol w:w="3298"/>
        <w:gridCol w:w="1510"/>
        <w:gridCol w:w="1940"/>
        <w:gridCol w:w="1470"/>
      </w:tblGrid>
      <w:tr w:rsidR="00923FCC" w14:paraId="2D32D1A3" w14:textId="77777777">
        <w:trPr>
          <w:trHeight w:val="533"/>
          <w:jc w:val="center"/>
        </w:trPr>
        <w:tc>
          <w:tcPr>
            <w:tcW w:w="1497" w:type="dxa"/>
            <w:tcBorders>
              <w:top w:val="single" w:sz="4" w:space="0" w:color="000000"/>
              <w:left w:val="single" w:sz="4" w:space="0" w:color="000000"/>
              <w:bottom w:val="single" w:sz="4" w:space="0" w:color="000000"/>
              <w:right w:val="single" w:sz="4" w:space="0" w:color="000000"/>
            </w:tcBorders>
          </w:tcPr>
          <w:p w14:paraId="00000032" w14:textId="77777777" w:rsidR="00923FCC" w:rsidRDefault="00651F08">
            <w:pPr>
              <w:tabs>
                <w:tab w:val="left" w:pos="450"/>
              </w:tabs>
              <w:jc w:val="both"/>
              <w:rPr>
                <w:rFonts w:ascii="Arial" w:eastAsia="Arial" w:hAnsi="Arial" w:cs="Arial"/>
                <w:b/>
              </w:rPr>
            </w:pPr>
            <w:r>
              <w:rPr>
                <w:rFonts w:ascii="Arial" w:eastAsia="Arial" w:hAnsi="Arial" w:cs="Arial"/>
                <w:b/>
              </w:rPr>
              <w:t xml:space="preserve">Deliverable </w:t>
            </w:r>
          </w:p>
        </w:tc>
        <w:tc>
          <w:tcPr>
            <w:tcW w:w="3298" w:type="dxa"/>
            <w:tcBorders>
              <w:top w:val="single" w:sz="4" w:space="0" w:color="000000"/>
              <w:left w:val="single" w:sz="4" w:space="0" w:color="000000"/>
              <w:bottom w:val="single" w:sz="4" w:space="0" w:color="000000"/>
              <w:right w:val="single" w:sz="4" w:space="0" w:color="000000"/>
            </w:tcBorders>
          </w:tcPr>
          <w:p w14:paraId="00000033" w14:textId="77777777" w:rsidR="00923FCC" w:rsidRDefault="00651F08">
            <w:pPr>
              <w:tabs>
                <w:tab w:val="left" w:pos="450"/>
              </w:tabs>
              <w:jc w:val="center"/>
              <w:rPr>
                <w:rFonts w:ascii="Arial" w:eastAsia="Arial" w:hAnsi="Arial" w:cs="Arial"/>
                <w:b/>
              </w:rPr>
            </w:pPr>
            <w:r>
              <w:rPr>
                <w:rFonts w:ascii="Arial" w:eastAsia="Arial" w:hAnsi="Arial" w:cs="Arial"/>
                <w:b/>
              </w:rPr>
              <w:t>Deliverables/ Outputs</w:t>
            </w:r>
          </w:p>
        </w:tc>
        <w:tc>
          <w:tcPr>
            <w:tcW w:w="1510" w:type="dxa"/>
            <w:tcBorders>
              <w:top w:val="single" w:sz="4" w:space="0" w:color="000000"/>
              <w:left w:val="single" w:sz="4" w:space="0" w:color="000000"/>
              <w:bottom w:val="single" w:sz="4" w:space="0" w:color="000000"/>
              <w:right w:val="single" w:sz="4" w:space="0" w:color="000000"/>
            </w:tcBorders>
          </w:tcPr>
          <w:p w14:paraId="00000034" w14:textId="77777777" w:rsidR="00923FCC" w:rsidRDefault="00651F08">
            <w:pPr>
              <w:tabs>
                <w:tab w:val="left" w:pos="450"/>
              </w:tabs>
              <w:jc w:val="center"/>
              <w:rPr>
                <w:rFonts w:ascii="Arial" w:eastAsia="Arial" w:hAnsi="Arial" w:cs="Arial"/>
                <w:b/>
              </w:rPr>
            </w:pPr>
            <w:r>
              <w:rPr>
                <w:rFonts w:ascii="Arial" w:eastAsia="Arial" w:hAnsi="Arial" w:cs="Arial"/>
                <w:b/>
              </w:rPr>
              <w:t>Percentage of Payment</w:t>
            </w:r>
          </w:p>
        </w:tc>
        <w:tc>
          <w:tcPr>
            <w:tcW w:w="1940" w:type="dxa"/>
            <w:tcBorders>
              <w:top w:val="single" w:sz="4" w:space="0" w:color="000000"/>
              <w:left w:val="single" w:sz="4" w:space="0" w:color="000000"/>
              <w:bottom w:val="single" w:sz="4" w:space="0" w:color="000000"/>
              <w:right w:val="single" w:sz="4" w:space="0" w:color="000000"/>
            </w:tcBorders>
          </w:tcPr>
          <w:p w14:paraId="00000035" w14:textId="77777777" w:rsidR="00923FCC" w:rsidRDefault="00651F08">
            <w:pPr>
              <w:tabs>
                <w:tab w:val="left" w:pos="450"/>
              </w:tabs>
              <w:jc w:val="center"/>
              <w:rPr>
                <w:rFonts w:ascii="Arial" w:eastAsia="Arial" w:hAnsi="Arial" w:cs="Arial"/>
                <w:b/>
              </w:rPr>
            </w:pPr>
            <w:r>
              <w:rPr>
                <w:rFonts w:ascii="Arial" w:eastAsia="Arial" w:hAnsi="Arial" w:cs="Arial"/>
                <w:b/>
              </w:rPr>
              <w:t>Estimated Duration to Complete</w:t>
            </w:r>
          </w:p>
        </w:tc>
        <w:tc>
          <w:tcPr>
            <w:tcW w:w="1470" w:type="dxa"/>
            <w:tcBorders>
              <w:top w:val="single" w:sz="4" w:space="0" w:color="000000"/>
              <w:left w:val="single" w:sz="4" w:space="0" w:color="000000"/>
              <w:bottom w:val="single" w:sz="4" w:space="0" w:color="000000"/>
              <w:right w:val="single" w:sz="4" w:space="0" w:color="000000"/>
            </w:tcBorders>
          </w:tcPr>
          <w:p w14:paraId="00000036" w14:textId="77777777" w:rsidR="00923FCC" w:rsidRDefault="00651F08">
            <w:pPr>
              <w:tabs>
                <w:tab w:val="left" w:pos="450"/>
              </w:tabs>
              <w:jc w:val="center"/>
              <w:rPr>
                <w:rFonts w:ascii="Arial" w:eastAsia="Arial" w:hAnsi="Arial" w:cs="Arial"/>
                <w:b/>
              </w:rPr>
            </w:pPr>
            <w:r>
              <w:rPr>
                <w:rFonts w:ascii="Arial" w:eastAsia="Arial" w:hAnsi="Arial" w:cs="Arial"/>
                <w:b/>
              </w:rPr>
              <w:t>Due Date of Delivery</w:t>
            </w:r>
          </w:p>
        </w:tc>
      </w:tr>
      <w:tr w:rsidR="00923FCC" w14:paraId="11A1181C" w14:textId="77777777">
        <w:trPr>
          <w:trHeight w:val="611"/>
          <w:jc w:val="center"/>
        </w:trPr>
        <w:tc>
          <w:tcPr>
            <w:tcW w:w="1497" w:type="dxa"/>
            <w:tcBorders>
              <w:top w:val="single" w:sz="4" w:space="0" w:color="000000"/>
              <w:left w:val="single" w:sz="4" w:space="0" w:color="000000"/>
              <w:bottom w:val="single" w:sz="4" w:space="0" w:color="000000"/>
              <w:right w:val="single" w:sz="4" w:space="0" w:color="000000"/>
            </w:tcBorders>
          </w:tcPr>
          <w:p w14:paraId="00000037" w14:textId="77777777" w:rsidR="00923FCC" w:rsidRDefault="00923FCC">
            <w:pPr>
              <w:widowControl w:val="0"/>
              <w:numPr>
                <w:ilvl w:val="0"/>
                <w:numId w:val="2"/>
              </w:numPr>
              <w:pBdr>
                <w:top w:val="nil"/>
                <w:left w:val="nil"/>
                <w:bottom w:val="nil"/>
                <w:right w:val="nil"/>
                <w:between w:val="nil"/>
              </w:pBdr>
              <w:tabs>
                <w:tab w:val="left" w:pos="450"/>
              </w:tabs>
              <w:spacing w:line="360" w:lineRule="auto"/>
              <w:jc w:val="center"/>
              <w:rPr>
                <w:rFonts w:ascii="Arial" w:eastAsia="Arial" w:hAnsi="Arial" w:cs="Arial"/>
                <w:b/>
                <w:color w:val="000000"/>
                <w:sz w:val="24"/>
                <w:szCs w:val="24"/>
              </w:rPr>
            </w:pPr>
          </w:p>
        </w:tc>
        <w:tc>
          <w:tcPr>
            <w:tcW w:w="3298" w:type="dxa"/>
            <w:tcBorders>
              <w:top w:val="single" w:sz="4" w:space="0" w:color="000000"/>
              <w:left w:val="single" w:sz="4" w:space="0" w:color="000000"/>
              <w:bottom w:val="single" w:sz="4" w:space="0" w:color="000000"/>
              <w:right w:val="single" w:sz="4" w:space="0" w:color="000000"/>
            </w:tcBorders>
          </w:tcPr>
          <w:p w14:paraId="00000038" w14:textId="77777777" w:rsidR="00923FCC" w:rsidRDefault="00651F08">
            <w:pPr>
              <w:tabs>
                <w:tab w:val="left" w:pos="450"/>
              </w:tabs>
              <w:rPr>
                <w:rFonts w:ascii="Arial" w:eastAsia="Arial" w:hAnsi="Arial" w:cs="Arial"/>
                <w:b/>
              </w:rPr>
            </w:pPr>
            <w:r>
              <w:rPr>
                <w:rFonts w:ascii="Arial" w:eastAsia="Arial" w:hAnsi="Arial" w:cs="Arial"/>
                <w:b/>
              </w:rPr>
              <w:t>Inception Report with methodology and work plan breakdown structure</w:t>
            </w:r>
          </w:p>
        </w:tc>
        <w:tc>
          <w:tcPr>
            <w:tcW w:w="1510" w:type="dxa"/>
            <w:tcBorders>
              <w:top w:val="single" w:sz="4" w:space="0" w:color="000000"/>
              <w:left w:val="single" w:sz="4" w:space="0" w:color="000000"/>
              <w:bottom w:val="single" w:sz="4" w:space="0" w:color="000000"/>
              <w:right w:val="single" w:sz="4" w:space="0" w:color="000000"/>
            </w:tcBorders>
          </w:tcPr>
          <w:p w14:paraId="00000039" w14:textId="77777777" w:rsidR="00923FCC" w:rsidRDefault="00651F08">
            <w:pPr>
              <w:tabs>
                <w:tab w:val="left" w:pos="450"/>
              </w:tabs>
              <w:jc w:val="center"/>
              <w:rPr>
                <w:rFonts w:ascii="Arial" w:eastAsia="Arial" w:hAnsi="Arial" w:cs="Arial"/>
              </w:rPr>
            </w:pPr>
            <w:r>
              <w:rPr>
                <w:rFonts w:ascii="Arial" w:eastAsia="Arial" w:hAnsi="Arial" w:cs="Arial"/>
              </w:rPr>
              <w:t>10%</w:t>
            </w:r>
          </w:p>
        </w:tc>
        <w:tc>
          <w:tcPr>
            <w:tcW w:w="1940" w:type="dxa"/>
            <w:tcBorders>
              <w:top w:val="single" w:sz="4" w:space="0" w:color="000000"/>
              <w:left w:val="single" w:sz="4" w:space="0" w:color="000000"/>
              <w:bottom w:val="single" w:sz="4" w:space="0" w:color="000000"/>
              <w:right w:val="single" w:sz="4" w:space="0" w:color="000000"/>
            </w:tcBorders>
          </w:tcPr>
          <w:p w14:paraId="0000003A" w14:textId="77777777" w:rsidR="00923FCC" w:rsidRDefault="00651F08">
            <w:pPr>
              <w:tabs>
                <w:tab w:val="left" w:pos="450"/>
              </w:tabs>
              <w:jc w:val="center"/>
              <w:rPr>
                <w:rFonts w:ascii="Arial" w:eastAsia="Arial" w:hAnsi="Arial" w:cs="Arial"/>
              </w:rPr>
            </w:pPr>
            <w:r>
              <w:rPr>
                <w:rFonts w:ascii="Arial" w:eastAsia="Arial" w:hAnsi="Arial" w:cs="Arial"/>
              </w:rPr>
              <w:t>One (1) week</w:t>
            </w:r>
          </w:p>
        </w:tc>
        <w:tc>
          <w:tcPr>
            <w:tcW w:w="1470" w:type="dxa"/>
            <w:tcBorders>
              <w:top w:val="single" w:sz="4" w:space="0" w:color="000000"/>
              <w:left w:val="single" w:sz="4" w:space="0" w:color="000000"/>
              <w:bottom w:val="single" w:sz="4" w:space="0" w:color="000000"/>
              <w:right w:val="single" w:sz="4" w:space="0" w:color="000000"/>
            </w:tcBorders>
          </w:tcPr>
          <w:p w14:paraId="0000003B" w14:textId="5617908B" w:rsidR="00923FCC" w:rsidRDefault="002554C1">
            <w:pPr>
              <w:tabs>
                <w:tab w:val="left" w:pos="450"/>
              </w:tabs>
              <w:jc w:val="center"/>
              <w:rPr>
                <w:rFonts w:ascii="Arial" w:eastAsia="Arial" w:hAnsi="Arial" w:cs="Arial"/>
              </w:rPr>
            </w:pPr>
            <w:r>
              <w:rPr>
                <w:rFonts w:ascii="Arial" w:eastAsia="Arial" w:hAnsi="Arial" w:cs="Arial"/>
              </w:rPr>
              <w:t xml:space="preserve">June </w:t>
            </w:r>
            <w:r w:rsidR="00B114DF">
              <w:rPr>
                <w:rFonts w:ascii="Arial" w:eastAsia="Arial" w:hAnsi="Arial" w:cs="Arial"/>
              </w:rPr>
              <w:t>7</w:t>
            </w:r>
            <w:r w:rsidR="00651F08">
              <w:rPr>
                <w:rFonts w:ascii="Arial" w:eastAsia="Arial" w:hAnsi="Arial" w:cs="Arial"/>
              </w:rPr>
              <w:t>, 2021</w:t>
            </w:r>
          </w:p>
        </w:tc>
      </w:tr>
      <w:tr w:rsidR="00923FCC" w14:paraId="6C269EFE" w14:textId="77777777">
        <w:trPr>
          <w:trHeight w:val="683"/>
          <w:jc w:val="center"/>
        </w:trPr>
        <w:tc>
          <w:tcPr>
            <w:tcW w:w="1497" w:type="dxa"/>
            <w:tcBorders>
              <w:top w:val="single" w:sz="4" w:space="0" w:color="000000"/>
              <w:left w:val="single" w:sz="4" w:space="0" w:color="000000"/>
              <w:bottom w:val="single" w:sz="4" w:space="0" w:color="000000"/>
              <w:right w:val="single" w:sz="4" w:space="0" w:color="000000"/>
            </w:tcBorders>
          </w:tcPr>
          <w:p w14:paraId="0000003C" w14:textId="77777777" w:rsidR="00923FCC" w:rsidRDefault="00923FCC">
            <w:pPr>
              <w:widowControl w:val="0"/>
              <w:numPr>
                <w:ilvl w:val="0"/>
                <w:numId w:val="2"/>
              </w:numPr>
              <w:pBdr>
                <w:top w:val="nil"/>
                <w:left w:val="nil"/>
                <w:bottom w:val="nil"/>
                <w:right w:val="nil"/>
                <w:between w:val="nil"/>
              </w:pBdr>
              <w:tabs>
                <w:tab w:val="left" w:pos="450"/>
              </w:tabs>
              <w:spacing w:line="360" w:lineRule="auto"/>
              <w:jc w:val="center"/>
              <w:rPr>
                <w:rFonts w:ascii="Arial" w:eastAsia="Arial" w:hAnsi="Arial" w:cs="Arial"/>
                <w:b/>
                <w:color w:val="000000"/>
                <w:sz w:val="24"/>
                <w:szCs w:val="24"/>
              </w:rPr>
            </w:pPr>
          </w:p>
        </w:tc>
        <w:tc>
          <w:tcPr>
            <w:tcW w:w="3298" w:type="dxa"/>
            <w:tcBorders>
              <w:top w:val="single" w:sz="4" w:space="0" w:color="000000"/>
              <w:left w:val="single" w:sz="4" w:space="0" w:color="000000"/>
              <w:bottom w:val="single" w:sz="4" w:space="0" w:color="000000"/>
              <w:right w:val="single" w:sz="4" w:space="0" w:color="000000"/>
            </w:tcBorders>
          </w:tcPr>
          <w:p w14:paraId="0000003D" w14:textId="77777777" w:rsidR="00923FCC" w:rsidRDefault="00651F08">
            <w:pPr>
              <w:tabs>
                <w:tab w:val="left" w:pos="450"/>
              </w:tabs>
              <w:rPr>
                <w:rFonts w:ascii="Arial" w:eastAsia="Arial" w:hAnsi="Arial" w:cs="Arial"/>
                <w:b/>
              </w:rPr>
            </w:pPr>
            <w:r>
              <w:rPr>
                <w:rFonts w:ascii="Arial" w:eastAsia="Arial" w:hAnsi="Arial" w:cs="Arial"/>
                <w:b/>
              </w:rPr>
              <w:t>Capacity Development Consultation Interim Report</w:t>
            </w:r>
          </w:p>
        </w:tc>
        <w:tc>
          <w:tcPr>
            <w:tcW w:w="1510" w:type="dxa"/>
            <w:tcBorders>
              <w:top w:val="single" w:sz="4" w:space="0" w:color="000000"/>
              <w:left w:val="single" w:sz="4" w:space="0" w:color="000000"/>
              <w:bottom w:val="single" w:sz="4" w:space="0" w:color="000000"/>
              <w:right w:val="single" w:sz="4" w:space="0" w:color="000000"/>
            </w:tcBorders>
          </w:tcPr>
          <w:p w14:paraId="0000003E" w14:textId="77777777" w:rsidR="00923FCC" w:rsidRDefault="00651F08">
            <w:pPr>
              <w:tabs>
                <w:tab w:val="left" w:pos="450"/>
              </w:tabs>
              <w:jc w:val="center"/>
              <w:rPr>
                <w:rFonts w:ascii="Arial" w:eastAsia="Arial" w:hAnsi="Arial" w:cs="Arial"/>
              </w:rPr>
            </w:pPr>
            <w:r>
              <w:rPr>
                <w:rFonts w:ascii="Arial" w:eastAsia="Arial" w:hAnsi="Arial" w:cs="Arial"/>
              </w:rPr>
              <w:t>20%</w:t>
            </w:r>
          </w:p>
        </w:tc>
        <w:tc>
          <w:tcPr>
            <w:tcW w:w="1940" w:type="dxa"/>
            <w:tcBorders>
              <w:top w:val="single" w:sz="4" w:space="0" w:color="000000"/>
              <w:left w:val="single" w:sz="4" w:space="0" w:color="000000"/>
              <w:bottom w:val="single" w:sz="4" w:space="0" w:color="000000"/>
              <w:right w:val="single" w:sz="4" w:space="0" w:color="000000"/>
            </w:tcBorders>
          </w:tcPr>
          <w:p w14:paraId="0000003F" w14:textId="77777777" w:rsidR="00923FCC" w:rsidRDefault="00651F08">
            <w:pPr>
              <w:tabs>
                <w:tab w:val="left" w:pos="450"/>
              </w:tabs>
              <w:jc w:val="center"/>
              <w:rPr>
                <w:rFonts w:ascii="Arial" w:eastAsia="Arial" w:hAnsi="Arial" w:cs="Arial"/>
              </w:rPr>
            </w:pPr>
            <w:r>
              <w:rPr>
                <w:rFonts w:ascii="Arial" w:eastAsia="Arial" w:hAnsi="Arial" w:cs="Arial"/>
              </w:rPr>
              <w:t>Two (2) week</w:t>
            </w:r>
          </w:p>
        </w:tc>
        <w:tc>
          <w:tcPr>
            <w:tcW w:w="1470" w:type="dxa"/>
            <w:tcBorders>
              <w:top w:val="single" w:sz="4" w:space="0" w:color="000000"/>
              <w:left w:val="single" w:sz="4" w:space="0" w:color="000000"/>
              <w:bottom w:val="single" w:sz="4" w:space="0" w:color="000000"/>
              <w:right w:val="single" w:sz="4" w:space="0" w:color="000000"/>
            </w:tcBorders>
          </w:tcPr>
          <w:p w14:paraId="00000040" w14:textId="6208334C" w:rsidR="00923FCC" w:rsidRDefault="00651F08">
            <w:pPr>
              <w:tabs>
                <w:tab w:val="left" w:pos="450"/>
              </w:tabs>
              <w:jc w:val="center"/>
              <w:rPr>
                <w:rFonts w:ascii="Arial" w:eastAsia="Arial" w:hAnsi="Arial" w:cs="Arial"/>
              </w:rPr>
            </w:pPr>
            <w:r>
              <w:rPr>
                <w:rFonts w:ascii="Arial" w:eastAsia="Arial" w:hAnsi="Arial" w:cs="Arial"/>
              </w:rPr>
              <w:t xml:space="preserve">June </w:t>
            </w:r>
            <w:r w:rsidR="002E0B91">
              <w:rPr>
                <w:rFonts w:ascii="Arial" w:eastAsia="Arial" w:hAnsi="Arial" w:cs="Arial"/>
              </w:rPr>
              <w:t>21</w:t>
            </w:r>
            <w:r>
              <w:rPr>
                <w:rFonts w:ascii="Arial" w:eastAsia="Arial" w:hAnsi="Arial" w:cs="Arial"/>
              </w:rPr>
              <w:t>, 2021</w:t>
            </w:r>
          </w:p>
        </w:tc>
      </w:tr>
      <w:tr w:rsidR="00923FCC" w14:paraId="20AE78A7" w14:textId="77777777">
        <w:trPr>
          <w:trHeight w:val="683"/>
          <w:jc w:val="center"/>
        </w:trPr>
        <w:tc>
          <w:tcPr>
            <w:tcW w:w="1497" w:type="dxa"/>
            <w:tcBorders>
              <w:top w:val="single" w:sz="4" w:space="0" w:color="000000"/>
              <w:left w:val="single" w:sz="4" w:space="0" w:color="000000"/>
              <w:bottom w:val="single" w:sz="4" w:space="0" w:color="000000"/>
              <w:right w:val="single" w:sz="4" w:space="0" w:color="000000"/>
            </w:tcBorders>
          </w:tcPr>
          <w:p w14:paraId="00000041" w14:textId="77777777" w:rsidR="00923FCC" w:rsidRDefault="00923FCC">
            <w:pPr>
              <w:widowControl w:val="0"/>
              <w:numPr>
                <w:ilvl w:val="0"/>
                <w:numId w:val="2"/>
              </w:numPr>
              <w:pBdr>
                <w:top w:val="nil"/>
                <w:left w:val="nil"/>
                <w:bottom w:val="nil"/>
                <w:right w:val="nil"/>
                <w:between w:val="nil"/>
              </w:pBdr>
              <w:tabs>
                <w:tab w:val="left" w:pos="450"/>
              </w:tabs>
              <w:spacing w:line="360" w:lineRule="auto"/>
              <w:jc w:val="center"/>
              <w:rPr>
                <w:rFonts w:ascii="Arial" w:eastAsia="Arial" w:hAnsi="Arial" w:cs="Arial"/>
                <w:b/>
                <w:color w:val="000000"/>
                <w:sz w:val="24"/>
                <w:szCs w:val="24"/>
              </w:rPr>
            </w:pPr>
          </w:p>
        </w:tc>
        <w:tc>
          <w:tcPr>
            <w:tcW w:w="3298" w:type="dxa"/>
            <w:tcBorders>
              <w:top w:val="single" w:sz="4" w:space="0" w:color="000000"/>
              <w:left w:val="single" w:sz="4" w:space="0" w:color="000000"/>
              <w:bottom w:val="single" w:sz="4" w:space="0" w:color="000000"/>
              <w:right w:val="single" w:sz="4" w:space="0" w:color="000000"/>
            </w:tcBorders>
          </w:tcPr>
          <w:p w14:paraId="00000042" w14:textId="77777777" w:rsidR="00923FCC" w:rsidRDefault="00651F08">
            <w:pPr>
              <w:tabs>
                <w:tab w:val="left" w:pos="450"/>
              </w:tabs>
              <w:rPr>
                <w:rFonts w:ascii="Arial" w:eastAsia="Arial" w:hAnsi="Arial" w:cs="Arial"/>
                <w:b/>
              </w:rPr>
            </w:pPr>
            <w:r>
              <w:rPr>
                <w:rFonts w:ascii="Arial" w:eastAsia="Arial" w:hAnsi="Arial" w:cs="Arial"/>
                <w:b/>
              </w:rPr>
              <w:t>Draft Capacity Development Plan</w:t>
            </w:r>
          </w:p>
        </w:tc>
        <w:tc>
          <w:tcPr>
            <w:tcW w:w="1510" w:type="dxa"/>
            <w:tcBorders>
              <w:top w:val="single" w:sz="4" w:space="0" w:color="000000"/>
              <w:left w:val="single" w:sz="4" w:space="0" w:color="000000"/>
              <w:bottom w:val="single" w:sz="4" w:space="0" w:color="000000"/>
              <w:right w:val="single" w:sz="4" w:space="0" w:color="000000"/>
            </w:tcBorders>
          </w:tcPr>
          <w:p w14:paraId="00000043" w14:textId="77777777" w:rsidR="00923FCC" w:rsidRDefault="00651F08">
            <w:pPr>
              <w:tabs>
                <w:tab w:val="left" w:pos="450"/>
              </w:tabs>
              <w:jc w:val="center"/>
              <w:rPr>
                <w:rFonts w:ascii="Arial" w:eastAsia="Arial" w:hAnsi="Arial" w:cs="Arial"/>
              </w:rPr>
            </w:pPr>
            <w:r>
              <w:rPr>
                <w:rFonts w:ascii="Arial" w:eastAsia="Arial" w:hAnsi="Arial" w:cs="Arial"/>
              </w:rPr>
              <w:t>25%</w:t>
            </w:r>
          </w:p>
        </w:tc>
        <w:tc>
          <w:tcPr>
            <w:tcW w:w="1940" w:type="dxa"/>
            <w:tcBorders>
              <w:top w:val="single" w:sz="4" w:space="0" w:color="000000"/>
              <w:left w:val="single" w:sz="4" w:space="0" w:color="000000"/>
              <w:bottom w:val="single" w:sz="4" w:space="0" w:color="000000"/>
              <w:right w:val="single" w:sz="4" w:space="0" w:color="000000"/>
            </w:tcBorders>
          </w:tcPr>
          <w:p w14:paraId="00000044" w14:textId="77777777" w:rsidR="00923FCC" w:rsidRDefault="00651F08">
            <w:pPr>
              <w:tabs>
                <w:tab w:val="left" w:pos="450"/>
              </w:tabs>
              <w:jc w:val="center"/>
              <w:rPr>
                <w:rFonts w:ascii="Arial" w:eastAsia="Arial" w:hAnsi="Arial" w:cs="Arial"/>
              </w:rPr>
            </w:pPr>
            <w:r>
              <w:rPr>
                <w:rFonts w:ascii="Arial" w:eastAsia="Arial" w:hAnsi="Arial" w:cs="Arial"/>
              </w:rPr>
              <w:t>Three (2) week</w:t>
            </w:r>
          </w:p>
        </w:tc>
        <w:tc>
          <w:tcPr>
            <w:tcW w:w="1470" w:type="dxa"/>
            <w:tcBorders>
              <w:top w:val="single" w:sz="4" w:space="0" w:color="000000"/>
              <w:left w:val="single" w:sz="4" w:space="0" w:color="000000"/>
              <w:bottom w:val="single" w:sz="4" w:space="0" w:color="000000"/>
              <w:right w:val="single" w:sz="4" w:space="0" w:color="000000"/>
            </w:tcBorders>
          </w:tcPr>
          <w:p w14:paraId="00000045" w14:textId="3F3C1C46" w:rsidR="00923FCC" w:rsidRDefault="00651F08">
            <w:pPr>
              <w:tabs>
                <w:tab w:val="left" w:pos="450"/>
              </w:tabs>
              <w:jc w:val="center"/>
              <w:rPr>
                <w:rFonts w:ascii="Arial" w:eastAsia="Arial" w:hAnsi="Arial" w:cs="Arial"/>
              </w:rPr>
            </w:pPr>
            <w:r>
              <w:rPr>
                <w:rFonts w:ascii="Arial" w:eastAsia="Arial" w:hAnsi="Arial" w:cs="Arial"/>
              </w:rPr>
              <w:t>Ju</w:t>
            </w:r>
            <w:r w:rsidR="002E0B91">
              <w:rPr>
                <w:rFonts w:ascii="Arial" w:eastAsia="Arial" w:hAnsi="Arial" w:cs="Arial"/>
              </w:rPr>
              <w:t>ly</w:t>
            </w:r>
            <w:r>
              <w:rPr>
                <w:rFonts w:ascii="Arial" w:eastAsia="Arial" w:hAnsi="Arial" w:cs="Arial"/>
              </w:rPr>
              <w:t xml:space="preserve"> </w:t>
            </w:r>
            <w:r w:rsidR="002E0B91">
              <w:rPr>
                <w:rFonts w:ascii="Arial" w:eastAsia="Arial" w:hAnsi="Arial" w:cs="Arial"/>
              </w:rPr>
              <w:t>12</w:t>
            </w:r>
            <w:r>
              <w:rPr>
                <w:rFonts w:ascii="Arial" w:eastAsia="Arial" w:hAnsi="Arial" w:cs="Arial"/>
              </w:rPr>
              <w:t>, 2021</w:t>
            </w:r>
          </w:p>
        </w:tc>
      </w:tr>
      <w:tr w:rsidR="00923FCC" w14:paraId="6057543D" w14:textId="77777777">
        <w:trPr>
          <w:trHeight w:val="566"/>
          <w:jc w:val="center"/>
        </w:trPr>
        <w:tc>
          <w:tcPr>
            <w:tcW w:w="1497" w:type="dxa"/>
            <w:tcBorders>
              <w:top w:val="single" w:sz="4" w:space="0" w:color="000000"/>
              <w:left w:val="single" w:sz="4" w:space="0" w:color="000000"/>
              <w:bottom w:val="single" w:sz="4" w:space="0" w:color="000000"/>
              <w:right w:val="single" w:sz="4" w:space="0" w:color="000000"/>
            </w:tcBorders>
          </w:tcPr>
          <w:p w14:paraId="00000046" w14:textId="77777777" w:rsidR="00923FCC" w:rsidRDefault="00923FCC">
            <w:pPr>
              <w:widowControl w:val="0"/>
              <w:numPr>
                <w:ilvl w:val="0"/>
                <w:numId w:val="2"/>
              </w:numPr>
              <w:pBdr>
                <w:top w:val="nil"/>
                <w:left w:val="nil"/>
                <w:bottom w:val="nil"/>
                <w:right w:val="nil"/>
                <w:between w:val="nil"/>
              </w:pBdr>
              <w:tabs>
                <w:tab w:val="left" w:pos="450"/>
              </w:tabs>
              <w:spacing w:line="360" w:lineRule="auto"/>
              <w:jc w:val="center"/>
              <w:rPr>
                <w:rFonts w:ascii="Arial" w:eastAsia="Arial" w:hAnsi="Arial" w:cs="Arial"/>
                <w:b/>
                <w:color w:val="000000"/>
                <w:sz w:val="24"/>
                <w:szCs w:val="24"/>
              </w:rPr>
            </w:pPr>
          </w:p>
        </w:tc>
        <w:tc>
          <w:tcPr>
            <w:tcW w:w="3298" w:type="dxa"/>
            <w:tcBorders>
              <w:top w:val="single" w:sz="4" w:space="0" w:color="000000"/>
              <w:left w:val="single" w:sz="4" w:space="0" w:color="000000"/>
              <w:bottom w:val="single" w:sz="4" w:space="0" w:color="000000"/>
              <w:right w:val="single" w:sz="4" w:space="0" w:color="000000"/>
            </w:tcBorders>
          </w:tcPr>
          <w:p w14:paraId="00000047" w14:textId="77777777" w:rsidR="00923FCC" w:rsidRDefault="00651F08">
            <w:pPr>
              <w:tabs>
                <w:tab w:val="left" w:pos="450"/>
              </w:tabs>
              <w:rPr>
                <w:rFonts w:ascii="Arial" w:eastAsia="Arial" w:hAnsi="Arial" w:cs="Arial"/>
                <w:b/>
              </w:rPr>
            </w:pPr>
            <w:r>
              <w:rPr>
                <w:rFonts w:ascii="Arial" w:eastAsia="Arial" w:hAnsi="Arial" w:cs="Arial"/>
                <w:b/>
              </w:rPr>
              <w:t>Validation Sessions</w:t>
            </w:r>
          </w:p>
        </w:tc>
        <w:tc>
          <w:tcPr>
            <w:tcW w:w="1510" w:type="dxa"/>
            <w:tcBorders>
              <w:top w:val="single" w:sz="4" w:space="0" w:color="000000"/>
              <w:left w:val="single" w:sz="4" w:space="0" w:color="000000"/>
              <w:bottom w:val="single" w:sz="4" w:space="0" w:color="000000"/>
              <w:right w:val="single" w:sz="4" w:space="0" w:color="000000"/>
            </w:tcBorders>
          </w:tcPr>
          <w:p w14:paraId="00000048" w14:textId="77777777" w:rsidR="00923FCC" w:rsidRDefault="00651F08">
            <w:pPr>
              <w:tabs>
                <w:tab w:val="left" w:pos="450"/>
              </w:tabs>
              <w:jc w:val="center"/>
              <w:rPr>
                <w:rFonts w:ascii="Arial" w:eastAsia="Arial" w:hAnsi="Arial" w:cs="Arial"/>
              </w:rPr>
            </w:pPr>
            <w:r>
              <w:rPr>
                <w:rFonts w:ascii="Arial" w:eastAsia="Arial" w:hAnsi="Arial" w:cs="Arial"/>
              </w:rPr>
              <w:t>15%</w:t>
            </w:r>
          </w:p>
        </w:tc>
        <w:tc>
          <w:tcPr>
            <w:tcW w:w="1940" w:type="dxa"/>
            <w:tcBorders>
              <w:top w:val="single" w:sz="4" w:space="0" w:color="000000"/>
              <w:left w:val="single" w:sz="4" w:space="0" w:color="000000"/>
              <w:bottom w:val="single" w:sz="4" w:space="0" w:color="000000"/>
              <w:right w:val="single" w:sz="4" w:space="0" w:color="000000"/>
            </w:tcBorders>
          </w:tcPr>
          <w:p w14:paraId="00000049" w14:textId="77777777" w:rsidR="00923FCC" w:rsidRDefault="00651F08">
            <w:pPr>
              <w:tabs>
                <w:tab w:val="left" w:pos="450"/>
              </w:tabs>
              <w:jc w:val="center"/>
              <w:rPr>
                <w:rFonts w:ascii="Arial" w:eastAsia="Arial" w:hAnsi="Arial" w:cs="Arial"/>
              </w:rPr>
            </w:pPr>
            <w:r>
              <w:rPr>
                <w:rFonts w:ascii="Arial" w:eastAsia="Arial" w:hAnsi="Arial" w:cs="Arial"/>
              </w:rPr>
              <w:t>One (1) week</w:t>
            </w:r>
          </w:p>
        </w:tc>
        <w:tc>
          <w:tcPr>
            <w:tcW w:w="1470" w:type="dxa"/>
            <w:tcBorders>
              <w:top w:val="single" w:sz="4" w:space="0" w:color="000000"/>
              <w:left w:val="single" w:sz="4" w:space="0" w:color="000000"/>
              <w:bottom w:val="single" w:sz="4" w:space="0" w:color="000000"/>
              <w:right w:val="single" w:sz="4" w:space="0" w:color="000000"/>
            </w:tcBorders>
          </w:tcPr>
          <w:p w14:paraId="0000004A" w14:textId="6302D03C" w:rsidR="00923FCC" w:rsidRDefault="00651F08">
            <w:pPr>
              <w:tabs>
                <w:tab w:val="left" w:pos="450"/>
              </w:tabs>
              <w:jc w:val="center"/>
              <w:rPr>
                <w:rFonts w:ascii="Arial" w:eastAsia="Arial" w:hAnsi="Arial" w:cs="Arial"/>
              </w:rPr>
            </w:pPr>
            <w:r>
              <w:rPr>
                <w:rFonts w:ascii="Arial" w:eastAsia="Arial" w:hAnsi="Arial" w:cs="Arial"/>
              </w:rPr>
              <w:t xml:space="preserve">July </w:t>
            </w:r>
            <w:r w:rsidR="002E0B91">
              <w:rPr>
                <w:rFonts w:ascii="Arial" w:eastAsia="Arial" w:hAnsi="Arial" w:cs="Arial"/>
              </w:rPr>
              <w:t>19</w:t>
            </w:r>
            <w:r>
              <w:rPr>
                <w:rFonts w:ascii="Arial" w:eastAsia="Arial" w:hAnsi="Arial" w:cs="Arial"/>
              </w:rPr>
              <w:t>, 2021</w:t>
            </w:r>
          </w:p>
        </w:tc>
      </w:tr>
      <w:tr w:rsidR="00923FCC" w14:paraId="1147A37F" w14:textId="77777777">
        <w:trPr>
          <w:trHeight w:val="566"/>
          <w:jc w:val="center"/>
        </w:trPr>
        <w:tc>
          <w:tcPr>
            <w:tcW w:w="1497" w:type="dxa"/>
            <w:tcBorders>
              <w:top w:val="single" w:sz="4" w:space="0" w:color="000000"/>
              <w:left w:val="single" w:sz="4" w:space="0" w:color="000000"/>
              <w:bottom w:val="single" w:sz="4" w:space="0" w:color="000000"/>
              <w:right w:val="single" w:sz="4" w:space="0" w:color="000000"/>
            </w:tcBorders>
          </w:tcPr>
          <w:p w14:paraId="0000004B" w14:textId="77777777" w:rsidR="00923FCC" w:rsidRDefault="00923FCC">
            <w:pPr>
              <w:widowControl w:val="0"/>
              <w:numPr>
                <w:ilvl w:val="0"/>
                <w:numId w:val="2"/>
              </w:numPr>
              <w:pBdr>
                <w:top w:val="nil"/>
                <w:left w:val="nil"/>
                <w:bottom w:val="nil"/>
                <w:right w:val="nil"/>
                <w:between w:val="nil"/>
              </w:pBdr>
              <w:tabs>
                <w:tab w:val="left" w:pos="450"/>
              </w:tabs>
              <w:spacing w:line="360" w:lineRule="auto"/>
              <w:jc w:val="center"/>
              <w:rPr>
                <w:rFonts w:ascii="Arial" w:eastAsia="Arial" w:hAnsi="Arial" w:cs="Arial"/>
                <w:b/>
                <w:color w:val="000000"/>
                <w:sz w:val="24"/>
                <w:szCs w:val="24"/>
              </w:rPr>
            </w:pPr>
          </w:p>
        </w:tc>
        <w:tc>
          <w:tcPr>
            <w:tcW w:w="3298" w:type="dxa"/>
            <w:tcBorders>
              <w:top w:val="single" w:sz="4" w:space="0" w:color="000000"/>
              <w:left w:val="single" w:sz="4" w:space="0" w:color="000000"/>
              <w:bottom w:val="single" w:sz="4" w:space="0" w:color="000000"/>
              <w:right w:val="single" w:sz="4" w:space="0" w:color="000000"/>
            </w:tcBorders>
          </w:tcPr>
          <w:p w14:paraId="0000004C" w14:textId="77777777" w:rsidR="00923FCC" w:rsidRDefault="00651F08">
            <w:pPr>
              <w:tabs>
                <w:tab w:val="left" w:pos="450"/>
              </w:tabs>
              <w:rPr>
                <w:rFonts w:ascii="Arial" w:eastAsia="Arial" w:hAnsi="Arial" w:cs="Arial"/>
                <w:b/>
              </w:rPr>
            </w:pPr>
            <w:r>
              <w:rPr>
                <w:rFonts w:ascii="Arial" w:eastAsia="Arial" w:hAnsi="Arial" w:cs="Arial"/>
                <w:b/>
              </w:rPr>
              <w:t>Final costed Capacity Development Plan</w:t>
            </w:r>
          </w:p>
        </w:tc>
        <w:tc>
          <w:tcPr>
            <w:tcW w:w="1510" w:type="dxa"/>
            <w:tcBorders>
              <w:top w:val="single" w:sz="4" w:space="0" w:color="000000"/>
              <w:left w:val="single" w:sz="4" w:space="0" w:color="000000"/>
              <w:bottom w:val="single" w:sz="4" w:space="0" w:color="000000"/>
              <w:right w:val="single" w:sz="4" w:space="0" w:color="000000"/>
            </w:tcBorders>
          </w:tcPr>
          <w:p w14:paraId="0000004D" w14:textId="77777777" w:rsidR="00923FCC" w:rsidRDefault="00651F08">
            <w:pPr>
              <w:tabs>
                <w:tab w:val="left" w:pos="450"/>
              </w:tabs>
              <w:jc w:val="center"/>
              <w:rPr>
                <w:rFonts w:ascii="Arial" w:eastAsia="Arial" w:hAnsi="Arial" w:cs="Arial"/>
              </w:rPr>
            </w:pPr>
            <w:r>
              <w:rPr>
                <w:rFonts w:ascii="Arial" w:eastAsia="Arial" w:hAnsi="Arial" w:cs="Arial"/>
              </w:rPr>
              <w:t>30%</w:t>
            </w:r>
          </w:p>
        </w:tc>
        <w:tc>
          <w:tcPr>
            <w:tcW w:w="1940" w:type="dxa"/>
            <w:tcBorders>
              <w:top w:val="single" w:sz="4" w:space="0" w:color="000000"/>
              <w:left w:val="single" w:sz="4" w:space="0" w:color="000000"/>
              <w:bottom w:val="single" w:sz="4" w:space="0" w:color="000000"/>
              <w:right w:val="single" w:sz="4" w:space="0" w:color="000000"/>
            </w:tcBorders>
          </w:tcPr>
          <w:p w14:paraId="1E8553BE" w14:textId="77777777" w:rsidR="00005693" w:rsidRDefault="00651F08">
            <w:pPr>
              <w:tabs>
                <w:tab w:val="left" w:pos="450"/>
              </w:tabs>
              <w:jc w:val="center"/>
              <w:rPr>
                <w:rFonts w:ascii="Arial" w:eastAsia="Arial" w:hAnsi="Arial" w:cs="Arial"/>
              </w:rPr>
            </w:pPr>
            <w:r>
              <w:rPr>
                <w:rFonts w:ascii="Arial" w:eastAsia="Arial" w:hAnsi="Arial" w:cs="Arial"/>
              </w:rPr>
              <w:t xml:space="preserve">One </w:t>
            </w:r>
            <w:r w:rsidR="00005693">
              <w:rPr>
                <w:rFonts w:ascii="Arial" w:eastAsia="Arial" w:hAnsi="Arial" w:cs="Arial"/>
              </w:rPr>
              <w:t>and a half</w:t>
            </w:r>
          </w:p>
          <w:p w14:paraId="0000004E" w14:textId="6C629F47" w:rsidR="00923FCC" w:rsidRDefault="00651F08">
            <w:pPr>
              <w:tabs>
                <w:tab w:val="left" w:pos="450"/>
              </w:tabs>
              <w:jc w:val="center"/>
              <w:rPr>
                <w:rFonts w:ascii="Arial" w:eastAsia="Arial" w:hAnsi="Arial" w:cs="Arial"/>
              </w:rPr>
            </w:pPr>
            <w:r>
              <w:rPr>
                <w:rFonts w:ascii="Arial" w:eastAsia="Arial" w:hAnsi="Arial" w:cs="Arial"/>
              </w:rPr>
              <w:t>(1</w:t>
            </w:r>
            <w:r w:rsidR="00B37262">
              <w:rPr>
                <w:rFonts w:ascii="Arial" w:eastAsia="Arial" w:hAnsi="Arial" w:cs="Arial"/>
              </w:rPr>
              <w:t>.5</w:t>
            </w:r>
            <w:r>
              <w:rPr>
                <w:rFonts w:ascii="Arial" w:eastAsia="Arial" w:hAnsi="Arial" w:cs="Arial"/>
              </w:rPr>
              <w:t>) week.</w:t>
            </w:r>
          </w:p>
        </w:tc>
        <w:tc>
          <w:tcPr>
            <w:tcW w:w="1470" w:type="dxa"/>
            <w:tcBorders>
              <w:top w:val="single" w:sz="4" w:space="0" w:color="000000"/>
              <w:left w:val="single" w:sz="4" w:space="0" w:color="000000"/>
              <w:bottom w:val="single" w:sz="4" w:space="0" w:color="000000"/>
              <w:right w:val="single" w:sz="4" w:space="0" w:color="000000"/>
            </w:tcBorders>
          </w:tcPr>
          <w:p w14:paraId="0000004F" w14:textId="5E342832" w:rsidR="00923FCC" w:rsidRDefault="00651F08">
            <w:pPr>
              <w:tabs>
                <w:tab w:val="left" w:pos="450"/>
              </w:tabs>
              <w:jc w:val="center"/>
              <w:rPr>
                <w:rFonts w:ascii="Arial" w:eastAsia="Arial" w:hAnsi="Arial" w:cs="Arial"/>
              </w:rPr>
            </w:pPr>
            <w:r>
              <w:rPr>
                <w:rFonts w:ascii="Arial" w:eastAsia="Arial" w:hAnsi="Arial" w:cs="Arial"/>
              </w:rPr>
              <w:t>July</w:t>
            </w:r>
            <w:r w:rsidR="002E0B91">
              <w:rPr>
                <w:rFonts w:ascii="Arial" w:eastAsia="Arial" w:hAnsi="Arial" w:cs="Arial"/>
              </w:rPr>
              <w:t xml:space="preserve"> </w:t>
            </w:r>
            <w:r w:rsidR="00005693">
              <w:rPr>
                <w:rFonts w:ascii="Arial" w:eastAsia="Arial" w:hAnsi="Arial" w:cs="Arial"/>
              </w:rPr>
              <w:t>30</w:t>
            </w:r>
            <w:r w:rsidR="002E0B91">
              <w:rPr>
                <w:rFonts w:ascii="Arial" w:eastAsia="Arial" w:hAnsi="Arial" w:cs="Arial"/>
              </w:rPr>
              <w:t xml:space="preserve">, </w:t>
            </w:r>
            <w:r>
              <w:rPr>
                <w:rFonts w:ascii="Arial" w:eastAsia="Arial" w:hAnsi="Arial" w:cs="Arial"/>
              </w:rPr>
              <w:t xml:space="preserve">2021 </w:t>
            </w:r>
          </w:p>
        </w:tc>
      </w:tr>
    </w:tbl>
    <w:p w14:paraId="00000050" w14:textId="77777777" w:rsidR="00923FCC" w:rsidRDefault="00923FCC">
      <w:pPr>
        <w:pBdr>
          <w:top w:val="nil"/>
          <w:left w:val="nil"/>
          <w:bottom w:val="nil"/>
          <w:right w:val="nil"/>
          <w:between w:val="nil"/>
        </w:pBdr>
        <w:jc w:val="both"/>
        <w:rPr>
          <w:rFonts w:ascii="Arial" w:eastAsia="Arial" w:hAnsi="Arial" w:cs="Arial"/>
          <w:color w:val="000000"/>
        </w:rPr>
      </w:pPr>
    </w:p>
    <w:p w14:paraId="00000051" w14:textId="77777777" w:rsidR="00923FCC" w:rsidRDefault="00651F08">
      <w:pPr>
        <w:widowControl w:val="0"/>
        <w:numPr>
          <w:ilvl w:val="0"/>
          <w:numId w:val="6"/>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Institutional Arrangement:</w:t>
      </w:r>
    </w:p>
    <w:p w14:paraId="00000052" w14:textId="77777777" w:rsidR="00923FCC" w:rsidRDefault="00923FCC">
      <w:pPr>
        <w:rPr>
          <w:rFonts w:ascii="Arial" w:eastAsia="Arial" w:hAnsi="Arial" w:cs="Arial"/>
        </w:rPr>
      </w:pPr>
    </w:p>
    <w:p w14:paraId="00000053" w14:textId="77777777" w:rsidR="00923FCC" w:rsidRDefault="00651F08" w:rsidP="00005693">
      <w:pPr>
        <w:jc w:val="both"/>
        <w:rPr>
          <w:rFonts w:ascii="Arial" w:eastAsia="Arial" w:hAnsi="Arial" w:cs="Arial"/>
        </w:rPr>
      </w:pPr>
      <w:r>
        <w:rPr>
          <w:rFonts w:ascii="Arial" w:eastAsia="Arial" w:hAnsi="Arial" w:cs="Arial"/>
        </w:rPr>
        <w:t xml:space="preserve">The contractor will work under direct supervision of UNDP’s </w:t>
      </w:r>
      <w:proofErr w:type="spellStart"/>
      <w:r>
        <w:rPr>
          <w:rFonts w:ascii="Arial" w:eastAsia="Arial" w:hAnsi="Arial" w:cs="Arial"/>
        </w:rPr>
        <w:t>Programme</w:t>
      </w:r>
      <w:proofErr w:type="spellEnd"/>
      <w:r>
        <w:rPr>
          <w:rFonts w:ascii="Arial" w:eastAsia="Arial" w:hAnsi="Arial" w:cs="Arial"/>
        </w:rPr>
        <w:t xml:space="preserve"> Officer in the Governance, Citizen Security and Poverty Alleviation Unit.  Deliverables must be reviewed and approved by the UNDP Deputy Resident Representative before payment is made to the contractor.</w:t>
      </w:r>
    </w:p>
    <w:p w14:paraId="00000054" w14:textId="77777777" w:rsidR="00923FCC" w:rsidRDefault="00923FCC">
      <w:pPr>
        <w:rPr>
          <w:rFonts w:ascii="Arial" w:eastAsia="Arial" w:hAnsi="Arial" w:cs="Arial"/>
        </w:rPr>
      </w:pPr>
    </w:p>
    <w:p w14:paraId="00000055" w14:textId="77777777" w:rsidR="00923FCC" w:rsidRDefault="00651F08">
      <w:pPr>
        <w:numPr>
          <w:ilvl w:val="0"/>
          <w:numId w:val="6"/>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Duration of the Work</w:t>
      </w:r>
    </w:p>
    <w:p w14:paraId="00000056" w14:textId="77777777" w:rsidR="00923FCC" w:rsidRDefault="00923FCC">
      <w:pPr>
        <w:jc w:val="both"/>
        <w:rPr>
          <w:rFonts w:ascii="Arial" w:eastAsia="Arial" w:hAnsi="Arial" w:cs="Arial"/>
        </w:rPr>
      </w:pPr>
    </w:p>
    <w:p w14:paraId="00000057" w14:textId="1B034A20" w:rsidR="00923FCC" w:rsidRDefault="00651F08">
      <w:pPr>
        <w:jc w:val="both"/>
        <w:rPr>
          <w:rFonts w:ascii="Arial" w:eastAsia="Arial" w:hAnsi="Arial" w:cs="Arial"/>
          <w:color w:val="000000"/>
        </w:rPr>
      </w:pPr>
      <w:r>
        <w:rPr>
          <w:rFonts w:ascii="Arial" w:eastAsia="Arial" w:hAnsi="Arial" w:cs="Arial"/>
          <w:color w:val="000000"/>
        </w:rPr>
        <w:t>The Consultant will be engaged for 8</w:t>
      </w:r>
      <w:r w:rsidR="00C676DA">
        <w:rPr>
          <w:rFonts w:ascii="Arial" w:eastAsia="Arial" w:hAnsi="Arial" w:cs="Arial"/>
          <w:color w:val="000000"/>
        </w:rPr>
        <w:t>.5</w:t>
      </w:r>
      <w:r>
        <w:rPr>
          <w:rFonts w:ascii="Arial" w:eastAsia="Arial" w:hAnsi="Arial" w:cs="Arial"/>
          <w:color w:val="000000"/>
        </w:rPr>
        <w:t xml:space="preserve"> weeks, commencing M</w:t>
      </w:r>
      <w:r w:rsidR="0033441A">
        <w:rPr>
          <w:rFonts w:ascii="Arial" w:eastAsia="Arial" w:hAnsi="Arial" w:cs="Arial"/>
          <w:color w:val="000000"/>
        </w:rPr>
        <w:t>ay</w:t>
      </w:r>
      <w:r>
        <w:rPr>
          <w:rFonts w:ascii="Arial" w:eastAsia="Arial" w:hAnsi="Arial" w:cs="Arial"/>
          <w:color w:val="000000"/>
        </w:rPr>
        <w:t xml:space="preserve"> </w:t>
      </w:r>
      <w:r w:rsidR="00F875C1">
        <w:rPr>
          <w:rFonts w:ascii="Arial" w:eastAsia="Arial" w:hAnsi="Arial" w:cs="Arial"/>
          <w:color w:val="000000"/>
        </w:rPr>
        <w:t>31</w:t>
      </w:r>
      <w:r>
        <w:rPr>
          <w:rFonts w:ascii="Arial" w:eastAsia="Arial" w:hAnsi="Arial" w:cs="Arial"/>
          <w:color w:val="000000"/>
        </w:rPr>
        <w:t>, 2021 (approximately 4</w:t>
      </w:r>
      <w:r w:rsidR="00F34A9A">
        <w:rPr>
          <w:rFonts w:ascii="Arial" w:eastAsia="Arial" w:hAnsi="Arial" w:cs="Arial"/>
          <w:color w:val="000000"/>
        </w:rPr>
        <w:t>5</w:t>
      </w:r>
      <w:r>
        <w:rPr>
          <w:rFonts w:ascii="Arial" w:eastAsia="Arial" w:hAnsi="Arial" w:cs="Arial"/>
          <w:color w:val="000000"/>
        </w:rPr>
        <w:t xml:space="preserve"> working days) with final deliverable to be submitted no later than July </w:t>
      </w:r>
      <w:r w:rsidR="005057D5">
        <w:rPr>
          <w:rFonts w:ascii="Arial" w:eastAsia="Arial" w:hAnsi="Arial" w:cs="Arial"/>
          <w:color w:val="000000"/>
        </w:rPr>
        <w:t>30</w:t>
      </w:r>
      <w:r>
        <w:rPr>
          <w:rFonts w:ascii="Arial" w:eastAsia="Arial" w:hAnsi="Arial" w:cs="Arial"/>
          <w:color w:val="000000"/>
        </w:rPr>
        <w:t xml:space="preserve">, 2021.  Payments shall be in accordance with UNDP’s procurement procedures. </w:t>
      </w:r>
    </w:p>
    <w:p w14:paraId="00000058" w14:textId="77777777" w:rsidR="00923FCC" w:rsidRDefault="00651F08">
      <w:pPr>
        <w:pBdr>
          <w:top w:val="nil"/>
          <w:left w:val="nil"/>
          <w:bottom w:val="nil"/>
          <w:right w:val="nil"/>
          <w:between w:val="nil"/>
        </w:pBdr>
        <w:spacing w:line="259" w:lineRule="auto"/>
        <w:ind w:left="360"/>
        <w:jc w:val="both"/>
        <w:rPr>
          <w:rFonts w:ascii="Arial" w:eastAsia="Arial" w:hAnsi="Arial" w:cs="Arial"/>
          <w:color w:val="000000"/>
        </w:rPr>
      </w:pPr>
      <w:r>
        <w:rPr>
          <w:rFonts w:ascii="Arial" w:eastAsia="Arial" w:hAnsi="Arial" w:cs="Arial"/>
          <w:color w:val="000000"/>
        </w:rPr>
        <w:t xml:space="preserve"> </w:t>
      </w:r>
    </w:p>
    <w:p w14:paraId="00000059" w14:textId="77777777" w:rsidR="00923FCC" w:rsidRDefault="00651F08">
      <w:pPr>
        <w:numPr>
          <w:ilvl w:val="0"/>
          <w:numId w:val="6"/>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Duty Station:</w:t>
      </w:r>
    </w:p>
    <w:p w14:paraId="0000005A" w14:textId="77777777" w:rsidR="00923FCC" w:rsidRDefault="00923FCC">
      <w:pPr>
        <w:jc w:val="both"/>
        <w:rPr>
          <w:rFonts w:ascii="Arial" w:eastAsia="Arial" w:hAnsi="Arial" w:cs="Arial"/>
        </w:rPr>
      </w:pPr>
    </w:p>
    <w:p w14:paraId="0000005B" w14:textId="77777777" w:rsidR="00923FCC" w:rsidRDefault="00651F08">
      <w:pPr>
        <w:jc w:val="both"/>
        <w:rPr>
          <w:rFonts w:ascii="Arial" w:eastAsia="Arial" w:hAnsi="Arial" w:cs="Arial"/>
          <w:b/>
        </w:rPr>
      </w:pPr>
      <w:r>
        <w:rPr>
          <w:rFonts w:ascii="Arial" w:eastAsia="Arial" w:hAnsi="Arial" w:cs="Arial"/>
        </w:rPr>
        <w:t xml:space="preserve">The duty station of this work will be based on the location of the contracted consultant. The consultant will be required to conduct meetings with UNDP (minimum of one (1) meeting per month) and is expected to factor in travel cost to complete stakeholder interviews and validation. Each accepted deliverable will be emailed via link to UNDP’s </w:t>
      </w:r>
      <w:proofErr w:type="spellStart"/>
      <w:r>
        <w:rPr>
          <w:rFonts w:ascii="Arial" w:eastAsia="Arial" w:hAnsi="Arial" w:cs="Arial"/>
        </w:rPr>
        <w:t>Programme</w:t>
      </w:r>
      <w:proofErr w:type="spellEnd"/>
      <w:r>
        <w:rPr>
          <w:rFonts w:ascii="Arial" w:eastAsia="Arial" w:hAnsi="Arial" w:cs="Arial"/>
        </w:rPr>
        <w:t xml:space="preserve"> Officer. </w:t>
      </w:r>
    </w:p>
    <w:p w14:paraId="0000005C" w14:textId="77777777" w:rsidR="00923FCC" w:rsidRDefault="00923FCC">
      <w:pPr>
        <w:jc w:val="both"/>
        <w:rPr>
          <w:rFonts w:ascii="Arial" w:eastAsia="Arial" w:hAnsi="Arial" w:cs="Arial"/>
        </w:rPr>
      </w:pPr>
    </w:p>
    <w:p w14:paraId="0000005D" w14:textId="77777777" w:rsidR="00923FCC" w:rsidRDefault="00651F08">
      <w:pPr>
        <w:numPr>
          <w:ilvl w:val="0"/>
          <w:numId w:val="6"/>
        </w:numPr>
        <w:jc w:val="both"/>
        <w:rPr>
          <w:rFonts w:ascii="Arial" w:eastAsia="Arial" w:hAnsi="Arial" w:cs="Arial"/>
          <w:b/>
        </w:rPr>
      </w:pPr>
      <w:r>
        <w:rPr>
          <w:rFonts w:ascii="Arial" w:eastAsia="Arial" w:hAnsi="Arial" w:cs="Arial"/>
          <w:b/>
        </w:rPr>
        <w:t>Qualification of the Successful Contractor</w:t>
      </w:r>
    </w:p>
    <w:p w14:paraId="0000005E" w14:textId="77777777" w:rsidR="00923FCC" w:rsidRDefault="00923FCC">
      <w:pPr>
        <w:pBdr>
          <w:top w:val="nil"/>
          <w:left w:val="nil"/>
          <w:bottom w:val="nil"/>
          <w:right w:val="nil"/>
          <w:between w:val="nil"/>
        </w:pBdr>
        <w:spacing w:line="276" w:lineRule="auto"/>
        <w:ind w:left="720"/>
        <w:jc w:val="both"/>
        <w:rPr>
          <w:rFonts w:ascii="Arial" w:eastAsia="Arial" w:hAnsi="Arial" w:cs="Arial"/>
        </w:rPr>
      </w:pPr>
    </w:p>
    <w:p w14:paraId="0000005F"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Master’s Degree in Gender Studies or Social Sciences</w:t>
      </w:r>
    </w:p>
    <w:p w14:paraId="00000060"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At least 5 years’ experience in research in the field of social science or working on gender related issues, including gender-based violence prevention, monitoring of gender-based violence and human right programs and response programming</w:t>
      </w:r>
    </w:p>
    <w:p w14:paraId="00000061"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bookmarkStart w:id="1" w:name="_heading=h.30j0zll" w:colFirst="0" w:colLast="0"/>
      <w:bookmarkEnd w:id="1"/>
      <w:r>
        <w:rPr>
          <w:rFonts w:ascii="Arial" w:eastAsia="Arial" w:hAnsi="Arial" w:cs="Arial"/>
          <w:color w:val="000000"/>
        </w:rPr>
        <w:t>Strong communication, writing and analytical skills both qualitative and quantitative</w:t>
      </w:r>
    </w:p>
    <w:p w14:paraId="00000062"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lastRenderedPageBreak/>
        <w:t>Proven record of similar assessments and conducting capacity development plans or activities</w:t>
      </w:r>
    </w:p>
    <w:p w14:paraId="00000063"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Good knowledge of and understanding of working in the Belizean framework with issues related to gender equality and women’s empowerment</w:t>
      </w:r>
    </w:p>
    <w:p w14:paraId="00000064" w14:textId="77777777" w:rsidR="00923FCC" w:rsidRDefault="00651F08">
      <w:pPr>
        <w:numPr>
          <w:ilvl w:val="0"/>
          <w:numId w:val="5"/>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Excellent interpersonal skills: culturally and socially sensitive; sensitivity to and ability to work with marginalized populations</w:t>
      </w:r>
    </w:p>
    <w:p w14:paraId="00000065" w14:textId="77777777" w:rsidR="00923FCC" w:rsidRDefault="00923FCC">
      <w:pPr>
        <w:jc w:val="both"/>
        <w:rPr>
          <w:rFonts w:ascii="Arial" w:eastAsia="Arial" w:hAnsi="Arial" w:cs="Arial"/>
        </w:rPr>
      </w:pPr>
    </w:p>
    <w:p w14:paraId="00000066" w14:textId="77777777" w:rsidR="00923FCC" w:rsidRDefault="00923FCC">
      <w:pPr>
        <w:jc w:val="both"/>
        <w:rPr>
          <w:rFonts w:ascii="Arial" w:eastAsia="Arial" w:hAnsi="Arial" w:cs="Arial"/>
        </w:rPr>
      </w:pPr>
    </w:p>
    <w:p w14:paraId="00000067" w14:textId="77777777" w:rsidR="00923FCC" w:rsidRDefault="00651F08">
      <w:pPr>
        <w:numPr>
          <w:ilvl w:val="0"/>
          <w:numId w:val="6"/>
        </w:numPr>
        <w:jc w:val="both"/>
        <w:rPr>
          <w:rFonts w:ascii="Arial" w:eastAsia="Arial" w:hAnsi="Arial" w:cs="Arial"/>
          <w:b/>
        </w:rPr>
      </w:pPr>
      <w:r>
        <w:rPr>
          <w:rFonts w:ascii="Arial" w:eastAsia="Arial" w:hAnsi="Arial" w:cs="Arial"/>
          <w:b/>
        </w:rPr>
        <w:t>Scope of Bid Price Proposal and Schedule of Payments:</w:t>
      </w:r>
    </w:p>
    <w:p w14:paraId="00000068" w14:textId="77777777" w:rsidR="00923FCC" w:rsidRDefault="00923FCC">
      <w:pPr>
        <w:jc w:val="both"/>
        <w:rPr>
          <w:rFonts w:ascii="Arial" w:eastAsia="Arial" w:hAnsi="Arial" w:cs="Arial"/>
        </w:rPr>
      </w:pPr>
    </w:p>
    <w:p w14:paraId="00000069" w14:textId="77777777" w:rsidR="00923FCC" w:rsidRDefault="00651F08">
      <w:pPr>
        <w:jc w:val="both"/>
        <w:rPr>
          <w:rFonts w:ascii="Arial" w:eastAsia="Arial" w:hAnsi="Arial" w:cs="Arial"/>
        </w:rPr>
      </w:pPr>
      <w:r>
        <w:rPr>
          <w:rFonts w:ascii="Arial" w:eastAsia="Arial" w:hAnsi="Arial" w:cs="Arial"/>
        </w:rPr>
        <w:t xml:space="preserve">The remuneration is expressed and will be payable in a Lump Sum Amount. </w:t>
      </w:r>
      <w:r>
        <w:rPr>
          <w:rFonts w:ascii="Arial" w:eastAsia="Arial" w:hAnsi="Arial" w:cs="Arial"/>
        </w:rPr>
        <w:tab/>
        <w:t xml:space="preserve"> </w:t>
      </w:r>
    </w:p>
    <w:p w14:paraId="0000006A" w14:textId="77777777" w:rsidR="00923FCC" w:rsidRDefault="00651F08">
      <w:pPr>
        <w:numPr>
          <w:ilvl w:val="0"/>
          <w:numId w:val="3"/>
        </w:numPr>
        <w:jc w:val="both"/>
        <w:rPr>
          <w:rFonts w:ascii="Arial" w:eastAsia="Arial" w:hAnsi="Arial" w:cs="Arial"/>
        </w:rPr>
      </w:pPr>
      <w:r>
        <w:rPr>
          <w:rFonts w:ascii="Arial" w:eastAsia="Arial" w:hAnsi="Arial" w:cs="Arial"/>
        </w:rPr>
        <w:t xml:space="preserve">The lump sum amount will be paid after the acceptable delivery of each deliverable by the contracting party as outlined in the delivery </w:t>
      </w:r>
      <w:proofErr w:type="gramStart"/>
      <w:r>
        <w:rPr>
          <w:rFonts w:ascii="Arial" w:eastAsia="Arial" w:hAnsi="Arial" w:cs="Arial"/>
        </w:rPr>
        <w:t>schedule;</w:t>
      </w:r>
      <w:proofErr w:type="gramEnd"/>
      <w:r>
        <w:rPr>
          <w:rFonts w:ascii="Arial" w:eastAsia="Arial" w:hAnsi="Arial" w:cs="Arial"/>
        </w:rPr>
        <w:t xml:space="preserve"> </w:t>
      </w:r>
    </w:p>
    <w:p w14:paraId="0000006B" w14:textId="7D32527C" w:rsidR="00923FCC" w:rsidRDefault="00651F08">
      <w:pPr>
        <w:numPr>
          <w:ilvl w:val="0"/>
          <w:numId w:val="3"/>
        </w:numPr>
        <w:jc w:val="both"/>
        <w:rPr>
          <w:rFonts w:ascii="Arial" w:eastAsia="Arial" w:hAnsi="Arial" w:cs="Arial"/>
        </w:rPr>
      </w:pPr>
      <w:r>
        <w:rPr>
          <w:rFonts w:ascii="Arial" w:eastAsia="Arial" w:hAnsi="Arial" w:cs="Arial"/>
        </w:rPr>
        <w:t>The contract price is fixed regardless of changes in the cost components.</w:t>
      </w:r>
    </w:p>
    <w:p w14:paraId="0E934A1F" w14:textId="77777777" w:rsidR="00E50134" w:rsidRDefault="00E50134" w:rsidP="00E50134">
      <w:pPr>
        <w:ind w:left="720"/>
        <w:jc w:val="both"/>
        <w:rPr>
          <w:rFonts w:ascii="Arial" w:eastAsia="Arial" w:hAnsi="Arial" w:cs="Arial"/>
        </w:rPr>
      </w:pPr>
    </w:p>
    <w:p w14:paraId="0000006C" w14:textId="77777777" w:rsidR="00923FCC" w:rsidRDefault="00923FCC">
      <w:pPr>
        <w:jc w:val="both"/>
        <w:rPr>
          <w:rFonts w:ascii="Arial" w:eastAsia="Arial" w:hAnsi="Arial" w:cs="Arial"/>
        </w:rPr>
      </w:pPr>
    </w:p>
    <w:p w14:paraId="0000006D" w14:textId="77777777" w:rsidR="00923FCC" w:rsidRDefault="00651F08">
      <w:pPr>
        <w:numPr>
          <w:ilvl w:val="0"/>
          <w:numId w:val="6"/>
        </w:numPr>
        <w:jc w:val="both"/>
        <w:rPr>
          <w:rFonts w:ascii="Arial" w:eastAsia="Arial" w:hAnsi="Arial" w:cs="Arial"/>
          <w:b/>
        </w:rPr>
      </w:pPr>
      <w:r>
        <w:rPr>
          <w:rFonts w:ascii="Arial" w:eastAsia="Arial" w:hAnsi="Arial" w:cs="Arial"/>
          <w:b/>
        </w:rPr>
        <w:t>Recommended Presentation of Offer:</w:t>
      </w:r>
    </w:p>
    <w:p w14:paraId="0000006E" w14:textId="77777777" w:rsidR="00923FCC" w:rsidRDefault="00923FCC">
      <w:pPr>
        <w:widowControl w:val="0"/>
        <w:pBdr>
          <w:top w:val="nil"/>
          <w:left w:val="nil"/>
          <w:bottom w:val="nil"/>
          <w:right w:val="nil"/>
          <w:between w:val="nil"/>
        </w:pBdr>
        <w:tabs>
          <w:tab w:val="left" w:pos="680"/>
          <w:tab w:val="left" w:pos="1060"/>
          <w:tab w:val="left" w:pos="720"/>
        </w:tabs>
        <w:jc w:val="both"/>
        <w:rPr>
          <w:rFonts w:ascii="Arial" w:eastAsia="Arial" w:hAnsi="Arial" w:cs="Arial"/>
        </w:rPr>
      </w:pPr>
    </w:p>
    <w:p w14:paraId="0000006F" w14:textId="77777777" w:rsidR="00923FCC" w:rsidRDefault="00651F08">
      <w:pPr>
        <w:widowControl w:val="0"/>
        <w:pBdr>
          <w:top w:val="nil"/>
          <w:left w:val="nil"/>
          <w:bottom w:val="nil"/>
          <w:right w:val="nil"/>
          <w:between w:val="nil"/>
        </w:pBdr>
        <w:tabs>
          <w:tab w:val="left" w:pos="680"/>
          <w:tab w:val="left" w:pos="1060"/>
          <w:tab w:val="left" w:pos="720"/>
        </w:tabs>
        <w:jc w:val="both"/>
        <w:rPr>
          <w:rFonts w:ascii="Arial" w:eastAsia="Arial" w:hAnsi="Arial" w:cs="Arial"/>
          <w:color w:val="000000"/>
        </w:rPr>
      </w:pPr>
      <w:r>
        <w:rPr>
          <w:rFonts w:ascii="Arial" w:eastAsia="Arial" w:hAnsi="Arial" w:cs="Arial"/>
          <w:color w:val="000000"/>
        </w:rPr>
        <w:t xml:space="preserve">The following documents must be submitted for review: </w:t>
      </w:r>
    </w:p>
    <w:p w14:paraId="00000070" w14:textId="77777777" w:rsidR="00923FCC" w:rsidRDefault="00651F08">
      <w:pPr>
        <w:numPr>
          <w:ilvl w:val="0"/>
          <w:numId w:val="1"/>
        </w:numPr>
        <w:tabs>
          <w:tab w:val="left" w:pos="1080"/>
        </w:tabs>
        <w:ind w:left="1080"/>
        <w:jc w:val="both"/>
        <w:rPr>
          <w:rFonts w:ascii="Arial" w:eastAsia="Arial" w:hAnsi="Arial" w:cs="Arial"/>
        </w:rPr>
      </w:pPr>
      <w:r>
        <w:rPr>
          <w:rFonts w:ascii="Arial" w:eastAsia="Arial" w:hAnsi="Arial" w:cs="Arial"/>
        </w:rPr>
        <w:t xml:space="preserve">Duly accomplished </w:t>
      </w:r>
      <w:r>
        <w:rPr>
          <w:rFonts w:ascii="Arial" w:eastAsia="Arial" w:hAnsi="Arial" w:cs="Arial"/>
          <w:b/>
        </w:rPr>
        <w:t xml:space="preserve">Letter of Confirmation of Interest and Availability </w:t>
      </w:r>
      <w:r>
        <w:rPr>
          <w:rFonts w:ascii="Arial" w:eastAsia="Arial" w:hAnsi="Arial" w:cs="Arial"/>
        </w:rPr>
        <w:t xml:space="preserve">using the template provided by </w:t>
      </w:r>
      <w:proofErr w:type="gramStart"/>
      <w:r>
        <w:rPr>
          <w:rFonts w:ascii="Arial" w:eastAsia="Arial" w:hAnsi="Arial" w:cs="Arial"/>
        </w:rPr>
        <w:t>UNDP;</w:t>
      </w:r>
      <w:proofErr w:type="gramEnd"/>
    </w:p>
    <w:p w14:paraId="5ED481C6" w14:textId="77777777" w:rsidR="001156CC" w:rsidRDefault="00651F08" w:rsidP="001156CC">
      <w:pPr>
        <w:numPr>
          <w:ilvl w:val="0"/>
          <w:numId w:val="1"/>
        </w:numPr>
        <w:tabs>
          <w:tab w:val="left" w:pos="1080"/>
        </w:tabs>
        <w:ind w:left="1080"/>
        <w:jc w:val="both"/>
        <w:rPr>
          <w:rFonts w:ascii="Arial" w:eastAsia="Arial" w:hAnsi="Arial" w:cs="Arial"/>
        </w:rPr>
      </w:pPr>
      <w:r>
        <w:rPr>
          <w:rFonts w:ascii="Arial" w:eastAsia="Arial" w:hAnsi="Arial" w:cs="Arial"/>
          <w:b/>
        </w:rPr>
        <w:t>Personal CV or P11</w:t>
      </w:r>
      <w:r>
        <w:rPr>
          <w:rFonts w:ascii="Arial" w:eastAsia="Arial" w:hAnsi="Arial" w:cs="Arial"/>
        </w:rPr>
        <w:t xml:space="preserve"> </w:t>
      </w:r>
    </w:p>
    <w:p w14:paraId="7F54FFBF" w14:textId="44A0F88E" w:rsidR="00C04D78" w:rsidRPr="001156CC" w:rsidRDefault="00C04D78" w:rsidP="001156CC">
      <w:pPr>
        <w:numPr>
          <w:ilvl w:val="0"/>
          <w:numId w:val="1"/>
        </w:numPr>
        <w:tabs>
          <w:tab w:val="left" w:pos="1080"/>
        </w:tabs>
        <w:ind w:left="1080"/>
        <w:jc w:val="both"/>
        <w:rPr>
          <w:rFonts w:ascii="Arial" w:eastAsia="Arial" w:hAnsi="Arial" w:cs="Arial"/>
        </w:rPr>
      </w:pPr>
      <w:r w:rsidRPr="006B7B21">
        <w:rPr>
          <w:rFonts w:ascii="Arial" w:eastAsia="Arial" w:hAnsi="Arial" w:cs="Arial"/>
          <w:b/>
          <w:bCs/>
        </w:rPr>
        <w:t>Brief description of why the individual considers him/herself as the most suitable</w:t>
      </w:r>
      <w:r w:rsidRPr="001156CC">
        <w:rPr>
          <w:rFonts w:ascii="Arial" w:eastAsia="Arial" w:hAnsi="Arial" w:cs="Arial"/>
        </w:rPr>
        <w:t xml:space="preserve"> for the assignment, and a methodology, on how </w:t>
      </w:r>
      <w:r w:rsidR="009837DE">
        <w:rPr>
          <w:rFonts w:ascii="Arial" w:eastAsia="Arial" w:hAnsi="Arial" w:cs="Arial"/>
        </w:rPr>
        <w:t>he/she</w:t>
      </w:r>
      <w:r w:rsidRPr="001156CC">
        <w:rPr>
          <w:rFonts w:ascii="Arial" w:eastAsia="Arial" w:hAnsi="Arial" w:cs="Arial"/>
        </w:rPr>
        <w:t xml:space="preserve"> will approach and complete the assignment</w:t>
      </w:r>
    </w:p>
    <w:p w14:paraId="00000072" w14:textId="2DED2FF1" w:rsidR="00923FCC" w:rsidRDefault="00651F08">
      <w:pPr>
        <w:numPr>
          <w:ilvl w:val="0"/>
          <w:numId w:val="1"/>
        </w:numPr>
        <w:tabs>
          <w:tab w:val="left" w:pos="1080"/>
        </w:tabs>
        <w:ind w:left="1080"/>
        <w:jc w:val="both"/>
        <w:rPr>
          <w:rFonts w:ascii="Arial" w:eastAsia="Arial" w:hAnsi="Arial" w:cs="Arial"/>
        </w:rPr>
      </w:pPr>
      <w:r>
        <w:rPr>
          <w:rFonts w:ascii="Arial" w:eastAsia="Arial" w:hAnsi="Arial" w:cs="Arial"/>
          <w:b/>
        </w:rPr>
        <w:t>Financial Proposal</w:t>
      </w:r>
      <w:r>
        <w:rPr>
          <w:rFonts w:ascii="Arial" w:eastAsia="Arial" w:hAnsi="Arial" w:cs="Arial"/>
        </w:rPr>
        <w:t xml:space="preserve"> that indicates the all-inclusive fixed total contract price, supported by a breakdown of costs. </w:t>
      </w:r>
    </w:p>
    <w:p w14:paraId="33F4124F" w14:textId="77777777" w:rsidR="001200CA" w:rsidRDefault="001200CA" w:rsidP="00C04D78">
      <w:pPr>
        <w:tabs>
          <w:tab w:val="left" w:pos="1080"/>
        </w:tabs>
        <w:ind w:left="720"/>
        <w:jc w:val="both"/>
        <w:rPr>
          <w:rFonts w:ascii="Arial" w:eastAsia="Arial" w:hAnsi="Arial" w:cs="Arial"/>
        </w:rPr>
      </w:pPr>
    </w:p>
    <w:p w14:paraId="00000073" w14:textId="77777777" w:rsidR="00923FCC" w:rsidRDefault="00923FCC">
      <w:pPr>
        <w:jc w:val="both"/>
        <w:rPr>
          <w:rFonts w:ascii="Arial" w:eastAsia="Arial" w:hAnsi="Arial" w:cs="Arial"/>
        </w:rPr>
      </w:pPr>
    </w:p>
    <w:p w14:paraId="00000074" w14:textId="5E84DC2A" w:rsidR="00923FCC" w:rsidRDefault="00651F08">
      <w:pPr>
        <w:numPr>
          <w:ilvl w:val="0"/>
          <w:numId w:val="6"/>
        </w:numPr>
        <w:jc w:val="both"/>
        <w:rPr>
          <w:rFonts w:ascii="Arial" w:eastAsia="Arial" w:hAnsi="Arial" w:cs="Arial"/>
          <w:b/>
        </w:rPr>
      </w:pPr>
      <w:r>
        <w:rPr>
          <w:rFonts w:ascii="Arial" w:eastAsia="Arial" w:hAnsi="Arial" w:cs="Arial"/>
          <w:b/>
        </w:rPr>
        <w:t>Criteria for Selection of the Best Offer</w:t>
      </w:r>
    </w:p>
    <w:p w14:paraId="00000075" w14:textId="77777777" w:rsidR="00923FCC" w:rsidRDefault="00651F08">
      <w:pPr>
        <w:tabs>
          <w:tab w:val="left" w:pos="1080"/>
        </w:tabs>
        <w:jc w:val="both"/>
        <w:rPr>
          <w:rFonts w:ascii="Arial" w:eastAsia="Arial" w:hAnsi="Arial" w:cs="Arial"/>
        </w:rPr>
      </w:pPr>
      <w:r>
        <w:rPr>
          <w:rFonts w:ascii="Arial" w:eastAsia="Arial" w:hAnsi="Arial" w:cs="Arial"/>
          <w:b/>
          <w:i/>
        </w:rPr>
        <w:t>Combined Scoring method</w:t>
      </w:r>
      <w:r>
        <w:rPr>
          <w:rFonts w:ascii="Arial" w:eastAsia="Arial" w:hAnsi="Arial" w:cs="Arial"/>
        </w:rPr>
        <w:t xml:space="preserve"> – where the qualifications and methodology will be weighted a max. of 70% and combined with the price offer which will be weighted a max of 30%.</w:t>
      </w:r>
    </w:p>
    <w:p w14:paraId="00000076" w14:textId="77777777" w:rsidR="00923FCC" w:rsidRDefault="00923FCC">
      <w:pPr>
        <w:jc w:val="both"/>
        <w:rPr>
          <w:rFonts w:ascii="Arial" w:eastAsia="Arial" w:hAnsi="Arial" w:cs="Arial"/>
          <w:b/>
        </w:rPr>
      </w:pPr>
    </w:p>
    <w:p w14:paraId="0000007F" w14:textId="77777777" w:rsidR="00923FCC" w:rsidRDefault="00651F08">
      <w:pPr>
        <w:jc w:val="both"/>
        <w:rPr>
          <w:rFonts w:ascii="Arial" w:eastAsia="Arial" w:hAnsi="Arial" w:cs="Arial"/>
          <w:b/>
        </w:rPr>
      </w:pPr>
      <w:r>
        <w:rPr>
          <w:rFonts w:ascii="Arial" w:eastAsia="Arial" w:hAnsi="Arial" w:cs="Arial"/>
          <w:b/>
        </w:rPr>
        <w:t xml:space="preserve">Submission of Application Package: </w:t>
      </w:r>
    </w:p>
    <w:p w14:paraId="00000080" w14:textId="77777777" w:rsidR="00923FCC" w:rsidRDefault="00923FCC">
      <w:pPr>
        <w:tabs>
          <w:tab w:val="left" w:pos="1080"/>
        </w:tabs>
        <w:jc w:val="both"/>
        <w:rPr>
          <w:rFonts w:ascii="Arial" w:eastAsia="Arial" w:hAnsi="Arial" w:cs="Arial"/>
        </w:rPr>
      </w:pPr>
    </w:p>
    <w:p w14:paraId="00000081" w14:textId="77777777" w:rsidR="00923FCC" w:rsidRDefault="00651F08">
      <w:pPr>
        <w:tabs>
          <w:tab w:val="left" w:pos="1080"/>
        </w:tabs>
        <w:jc w:val="center"/>
        <w:rPr>
          <w:rFonts w:ascii="Arial" w:eastAsia="Arial" w:hAnsi="Arial" w:cs="Arial"/>
          <w:b/>
        </w:rPr>
      </w:pPr>
      <w:r>
        <w:rPr>
          <w:rFonts w:ascii="Arial" w:eastAsia="Arial" w:hAnsi="Arial" w:cs="Arial"/>
        </w:rPr>
        <w:t xml:space="preserve">Proposals are required to be submitted by email or in 1 sealed envelope clearly labeled RFP: </w:t>
      </w:r>
      <w:r>
        <w:rPr>
          <w:rFonts w:ascii="Arial" w:eastAsia="Arial" w:hAnsi="Arial" w:cs="Arial"/>
          <w:b/>
        </w:rPr>
        <w:t>“Consultancy to Develop A National Capacity Development Plan (NCDP) in Response to Violence Against Women and Girls (VAWG) and Family Violence”.</w:t>
      </w:r>
    </w:p>
    <w:p w14:paraId="00000082" w14:textId="77777777" w:rsidR="00923FCC" w:rsidRDefault="00923FCC">
      <w:pPr>
        <w:jc w:val="both"/>
        <w:rPr>
          <w:rFonts w:ascii="Arial" w:eastAsia="Arial" w:hAnsi="Arial" w:cs="Arial"/>
        </w:rPr>
      </w:pPr>
    </w:p>
    <w:p w14:paraId="00000083" w14:textId="77777777" w:rsidR="00923FCC" w:rsidRDefault="00651F08">
      <w:pPr>
        <w:jc w:val="center"/>
        <w:rPr>
          <w:rFonts w:ascii="Arial" w:eastAsia="Arial" w:hAnsi="Arial" w:cs="Arial"/>
        </w:rPr>
      </w:pPr>
      <w:r>
        <w:rPr>
          <w:rFonts w:ascii="Arial" w:eastAsia="Arial" w:hAnsi="Arial" w:cs="Arial"/>
        </w:rPr>
        <w:t xml:space="preserve">United Nations Development </w:t>
      </w:r>
      <w:proofErr w:type="spellStart"/>
      <w:r>
        <w:rPr>
          <w:rFonts w:ascii="Arial" w:eastAsia="Arial" w:hAnsi="Arial" w:cs="Arial"/>
        </w:rPr>
        <w:t>Programme</w:t>
      </w:r>
      <w:proofErr w:type="spellEnd"/>
    </w:p>
    <w:p w14:paraId="00000084" w14:textId="77777777" w:rsidR="00923FCC" w:rsidRDefault="00651F08">
      <w:pPr>
        <w:jc w:val="center"/>
        <w:rPr>
          <w:rFonts w:ascii="Arial" w:eastAsia="Arial" w:hAnsi="Arial" w:cs="Arial"/>
        </w:rPr>
      </w:pPr>
      <w:r>
        <w:rPr>
          <w:rFonts w:ascii="Arial" w:eastAsia="Arial" w:hAnsi="Arial" w:cs="Arial"/>
        </w:rPr>
        <w:t>Attn: Procurement Associate</w:t>
      </w:r>
    </w:p>
    <w:p w14:paraId="00000085" w14:textId="77777777" w:rsidR="00923FCC" w:rsidRDefault="00651F08">
      <w:pPr>
        <w:jc w:val="center"/>
        <w:rPr>
          <w:rFonts w:ascii="Arial" w:eastAsia="Arial" w:hAnsi="Arial" w:cs="Arial"/>
        </w:rPr>
      </w:pPr>
      <w:r>
        <w:rPr>
          <w:rFonts w:ascii="Arial" w:eastAsia="Arial" w:hAnsi="Arial" w:cs="Arial"/>
        </w:rPr>
        <w:t>3rd Floor, Lawrence Nicholas Building, Belmopan</w:t>
      </w:r>
    </w:p>
    <w:p w14:paraId="00000086" w14:textId="77777777" w:rsidR="00923FCC" w:rsidRDefault="00651F08">
      <w:pPr>
        <w:jc w:val="center"/>
        <w:rPr>
          <w:rFonts w:ascii="Arial" w:eastAsia="Arial" w:hAnsi="Arial" w:cs="Arial"/>
        </w:rPr>
      </w:pPr>
      <w:proofErr w:type="spellStart"/>
      <w:r>
        <w:rPr>
          <w:rFonts w:ascii="Arial" w:eastAsia="Arial" w:hAnsi="Arial" w:cs="Arial"/>
        </w:rPr>
        <w:t>Cayo</w:t>
      </w:r>
      <w:proofErr w:type="spellEnd"/>
      <w:r>
        <w:rPr>
          <w:rFonts w:ascii="Arial" w:eastAsia="Arial" w:hAnsi="Arial" w:cs="Arial"/>
        </w:rPr>
        <w:t xml:space="preserve"> District, Belize, C.A.</w:t>
      </w:r>
    </w:p>
    <w:p w14:paraId="00000087" w14:textId="77777777" w:rsidR="00923FCC" w:rsidRDefault="00651F08">
      <w:pPr>
        <w:jc w:val="center"/>
        <w:rPr>
          <w:rFonts w:ascii="Arial" w:eastAsia="Arial" w:hAnsi="Arial" w:cs="Arial"/>
        </w:rPr>
      </w:pPr>
      <w:r>
        <w:rPr>
          <w:rFonts w:ascii="Arial" w:eastAsia="Arial" w:hAnsi="Arial" w:cs="Arial"/>
        </w:rPr>
        <w:t>Tel: (501) 822-2688, 0467, 4228</w:t>
      </w:r>
    </w:p>
    <w:p w14:paraId="00000089" w14:textId="044668FF" w:rsidR="00923FCC" w:rsidRDefault="00651F08">
      <w:pPr>
        <w:jc w:val="center"/>
        <w:rPr>
          <w:rFonts w:ascii="Arial" w:eastAsia="Arial" w:hAnsi="Arial" w:cs="Arial"/>
        </w:rPr>
      </w:pPr>
      <w:r>
        <w:rPr>
          <w:rFonts w:ascii="Arial" w:eastAsia="Arial" w:hAnsi="Arial" w:cs="Arial"/>
        </w:rPr>
        <w:t xml:space="preserve">Email: </w:t>
      </w:r>
      <w:hyperlink r:id="rId9">
        <w:r>
          <w:rPr>
            <w:rFonts w:ascii="Arial" w:eastAsia="Arial" w:hAnsi="Arial" w:cs="Arial"/>
            <w:color w:val="0000FF"/>
            <w:u w:val="single"/>
          </w:rPr>
          <w:t>procurement.bz@undp.org</w:t>
        </w:r>
      </w:hyperlink>
      <w:r>
        <w:rPr>
          <w:rFonts w:ascii="Arial" w:eastAsia="Arial" w:hAnsi="Arial" w:cs="Arial"/>
        </w:rPr>
        <w:t xml:space="preserve"> </w:t>
      </w:r>
    </w:p>
    <w:p w14:paraId="0000008B" w14:textId="77777777" w:rsidR="00923FCC" w:rsidRDefault="00923FCC">
      <w:pPr>
        <w:spacing w:line="276" w:lineRule="auto"/>
        <w:jc w:val="both"/>
        <w:rPr>
          <w:rFonts w:ascii="Arial" w:eastAsia="Arial" w:hAnsi="Arial" w:cs="Arial"/>
          <w:sz w:val="20"/>
          <w:szCs w:val="20"/>
        </w:rPr>
      </w:pPr>
    </w:p>
    <w:sectPr w:rsidR="00923FCC">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2A3E2" w14:textId="77777777" w:rsidR="008D11AA" w:rsidRDefault="008D11AA">
      <w:r>
        <w:separator/>
      </w:r>
    </w:p>
  </w:endnote>
  <w:endnote w:type="continuationSeparator" w:id="0">
    <w:p w14:paraId="78C3B50E" w14:textId="77777777" w:rsidR="008D11AA" w:rsidRDefault="008D1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C" w14:textId="77777777" w:rsidR="00923FCC" w:rsidRDefault="00651F08">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18"/>
        <w:szCs w:val="18"/>
      </w:rPr>
      <w:t>3</w:t>
    </w:r>
    <w:r>
      <w:rPr>
        <w:rFonts w:ascii="Calibri" w:eastAsia="Calibri" w:hAnsi="Calibri" w:cs="Calibri"/>
        <w:color w:val="000000"/>
        <w:sz w:val="18"/>
        <w:szCs w:val="18"/>
        <w:vertAlign w:val="superscript"/>
      </w:rPr>
      <w:t>rd</w:t>
    </w:r>
    <w:r>
      <w:rPr>
        <w:rFonts w:ascii="Calibri" w:eastAsia="Calibri" w:hAnsi="Calibri" w:cs="Calibri"/>
        <w:color w:val="000000"/>
        <w:sz w:val="18"/>
        <w:szCs w:val="18"/>
      </w:rPr>
      <w:t xml:space="preserve"> Floor Lawrence Nicholas Building Complex, South Ring Road, Belmopan, Belize Tel: (501) 822 </w:t>
    </w:r>
    <w:proofErr w:type="gramStart"/>
    <w:r>
      <w:rPr>
        <w:rFonts w:ascii="Calibri" w:eastAsia="Calibri" w:hAnsi="Calibri" w:cs="Calibri"/>
        <w:color w:val="000000"/>
        <w:sz w:val="18"/>
        <w:szCs w:val="18"/>
      </w:rPr>
      <w:t>2688  www.undp.org</w:t>
    </w:r>
    <w:proofErr w:type="gramEnd"/>
    <w:r>
      <w:rPr>
        <w:rFonts w:ascii="Calibri" w:eastAsia="Calibri" w:hAnsi="Calibri" w:cs="Calibr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C2F27" w14:textId="77777777" w:rsidR="008D11AA" w:rsidRDefault="008D11AA">
      <w:r>
        <w:separator/>
      </w:r>
    </w:p>
  </w:footnote>
  <w:footnote w:type="continuationSeparator" w:id="0">
    <w:p w14:paraId="47B57144" w14:textId="77777777" w:rsidR="008D11AA" w:rsidRDefault="008D11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A5A55"/>
    <w:multiLevelType w:val="multilevel"/>
    <w:tmpl w:val="8F2E7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C5E6A"/>
    <w:multiLevelType w:val="multilevel"/>
    <w:tmpl w:val="B7EEBBF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E403FF5"/>
    <w:multiLevelType w:val="multilevel"/>
    <w:tmpl w:val="BF2A4B66"/>
    <w:lvl w:ilvl="0">
      <w:start w:val="3"/>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28A158B"/>
    <w:multiLevelType w:val="multilevel"/>
    <w:tmpl w:val="475018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07D2873"/>
    <w:multiLevelType w:val="multilevel"/>
    <w:tmpl w:val="FF44737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D784497"/>
    <w:multiLevelType w:val="hybridMultilevel"/>
    <w:tmpl w:val="D558418E"/>
    <w:lvl w:ilvl="0" w:tplc="F0E05316">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F733CAD"/>
    <w:multiLevelType w:val="multilevel"/>
    <w:tmpl w:val="E5E07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6"/>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FCC"/>
    <w:rsid w:val="00005693"/>
    <w:rsid w:val="00076E01"/>
    <w:rsid w:val="001156CC"/>
    <w:rsid w:val="001200CA"/>
    <w:rsid w:val="001517F3"/>
    <w:rsid w:val="001C6008"/>
    <w:rsid w:val="001F6B56"/>
    <w:rsid w:val="001F7BDD"/>
    <w:rsid w:val="00224864"/>
    <w:rsid w:val="002554C1"/>
    <w:rsid w:val="002760E8"/>
    <w:rsid w:val="002E0B91"/>
    <w:rsid w:val="0033441A"/>
    <w:rsid w:val="004B1ECA"/>
    <w:rsid w:val="004C3F98"/>
    <w:rsid w:val="005057D5"/>
    <w:rsid w:val="005C55EB"/>
    <w:rsid w:val="00602153"/>
    <w:rsid w:val="0061560E"/>
    <w:rsid w:val="00642B3F"/>
    <w:rsid w:val="00651F08"/>
    <w:rsid w:val="006B7B21"/>
    <w:rsid w:val="007330A8"/>
    <w:rsid w:val="00802843"/>
    <w:rsid w:val="0086515D"/>
    <w:rsid w:val="008D11AA"/>
    <w:rsid w:val="00922E3C"/>
    <w:rsid w:val="00923FCC"/>
    <w:rsid w:val="009837DE"/>
    <w:rsid w:val="00AC409D"/>
    <w:rsid w:val="00B114DF"/>
    <w:rsid w:val="00B37262"/>
    <w:rsid w:val="00C04D78"/>
    <w:rsid w:val="00C676DA"/>
    <w:rsid w:val="00CB2BDA"/>
    <w:rsid w:val="00DF7B71"/>
    <w:rsid w:val="00E50134"/>
    <w:rsid w:val="00E8128D"/>
    <w:rsid w:val="00F34A9A"/>
    <w:rsid w:val="00F87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3CEC3"/>
  <w15:docId w15:val="{2211EAF1-4CB5-492C-A0F0-9F6E6B18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1B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link w:val="NoSpacingChar"/>
    <w:uiPriority w:val="1"/>
    <w:qFormat/>
    <w:rsid w:val="00CE1B6E"/>
  </w:style>
  <w:style w:type="paragraph" w:styleId="Header">
    <w:name w:val="header"/>
    <w:basedOn w:val="Normal"/>
    <w:link w:val="HeaderChar"/>
    <w:uiPriority w:val="99"/>
    <w:unhideWhenUsed/>
    <w:rsid w:val="00CE1B6E"/>
    <w:pPr>
      <w:tabs>
        <w:tab w:val="center" w:pos="4320"/>
        <w:tab w:val="right" w:pos="8640"/>
      </w:tabs>
    </w:pPr>
  </w:style>
  <w:style w:type="character" w:customStyle="1" w:styleId="HeaderChar">
    <w:name w:val="Header Char"/>
    <w:basedOn w:val="DefaultParagraphFont"/>
    <w:link w:val="Header"/>
    <w:uiPriority w:val="99"/>
    <w:rsid w:val="00CE1B6E"/>
  </w:style>
  <w:style w:type="paragraph" w:styleId="Footer">
    <w:name w:val="footer"/>
    <w:basedOn w:val="Normal"/>
    <w:link w:val="FooterChar"/>
    <w:uiPriority w:val="99"/>
    <w:unhideWhenUsed/>
    <w:rsid w:val="00CE1B6E"/>
    <w:pPr>
      <w:tabs>
        <w:tab w:val="center" w:pos="4320"/>
        <w:tab w:val="right" w:pos="8640"/>
      </w:tabs>
    </w:pPr>
  </w:style>
  <w:style w:type="character" w:customStyle="1" w:styleId="FooterChar">
    <w:name w:val="Footer Char"/>
    <w:basedOn w:val="DefaultParagraphFont"/>
    <w:link w:val="Footer"/>
    <w:uiPriority w:val="99"/>
    <w:rsid w:val="00CE1B6E"/>
  </w:style>
  <w:style w:type="paragraph" w:styleId="BalloonText">
    <w:name w:val="Balloon Text"/>
    <w:basedOn w:val="Normal"/>
    <w:link w:val="BalloonTextChar"/>
    <w:uiPriority w:val="99"/>
    <w:semiHidden/>
    <w:unhideWhenUsed/>
    <w:rsid w:val="00CE1B6E"/>
    <w:rPr>
      <w:rFonts w:ascii="Lucida Grande" w:hAnsi="Lucida Grande"/>
      <w:sz w:val="18"/>
      <w:szCs w:val="18"/>
    </w:rPr>
  </w:style>
  <w:style w:type="character" w:customStyle="1" w:styleId="BalloonTextChar">
    <w:name w:val="Balloon Text Char"/>
    <w:basedOn w:val="DefaultParagraphFont"/>
    <w:link w:val="BalloonText"/>
    <w:uiPriority w:val="99"/>
    <w:semiHidden/>
    <w:rsid w:val="00CE1B6E"/>
    <w:rPr>
      <w:rFonts w:ascii="Lucida Grande" w:hAnsi="Lucida Grande"/>
      <w:sz w:val="18"/>
      <w:szCs w:val="18"/>
    </w:rPr>
  </w:style>
  <w:style w:type="paragraph" w:customStyle="1" w:styleId="Text">
    <w:name w:val="Text"/>
    <w:qFormat/>
    <w:rsid w:val="000A3C51"/>
    <w:pPr>
      <w:spacing w:line="240" w:lineRule="exact"/>
    </w:pPr>
    <w:rPr>
      <w:rFonts w:ascii="Arial" w:hAnsi="Arial"/>
      <w:sz w:val="18"/>
    </w:rPr>
  </w:style>
  <w:style w:type="paragraph" w:customStyle="1" w:styleId="Address">
    <w:name w:val="Address"/>
    <w:qFormat/>
    <w:rsid w:val="008D7AAC"/>
    <w:pPr>
      <w:spacing w:line="220" w:lineRule="exact"/>
    </w:pPr>
    <w:rPr>
      <w:rFonts w:ascii="Arial" w:hAnsi="Arial"/>
      <w:sz w:val="16"/>
    </w:rPr>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3"/>
    <w:basedOn w:val="Normal"/>
    <w:link w:val="ListParagraphChar"/>
    <w:uiPriority w:val="34"/>
    <w:qFormat/>
    <w:rsid w:val="008323BF"/>
    <w:pPr>
      <w:spacing w:after="160" w:line="259"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8323BF"/>
    <w:rPr>
      <w:sz w:val="16"/>
      <w:szCs w:val="16"/>
    </w:rPr>
  </w:style>
  <w:style w:type="paragraph" w:styleId="CommentText">
    <w:name w:val="annotation text"/>
    <w:basedOn w:val="Normal"/>
    <w:link w:val="CommentTextChar"/>
    <w:uiPriority w:val="99"/>
    <w:semiHidden/>
    <w:unhideWhenUsed/>
    <w:rsid w:val="008323BF"/>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8323BF"/>
    <w:rPr>
      <w:rFonts w:eastAsiaTheme="minorHAnsi"/>
      <w:sz w:val="20"/>
      <w:szCs w:val="20"/>
    </w:r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3 Char"/>
    <w:link w:val="ListParagraph"/>
    <w:uiPriority w:val="34"/>
    <w:qFormat/>
    <w:locked/>
    <w:rsid w:val="008323BF"/>
    <w:rPr>
      <w:rFonts w:eastAsiaTheme="minorHAnsi"/>
      <w:sz w:val="22"/>
      <w:szCs w:val="22"/>
    </w:rPr>
  </w:style>
  <w:style w:type="table" w:styleId="ListTable3-Accent1">
    <w:name w:val="List Table 3 Accent 1"/>
    <w:basedOn w:val="TableNormal"/>
    <w:uiPriority w:val="48"/>
    <w:rsid w:val="005B27F8"/>
    <w:rPr>
      <w:rFonts w:eastAsiaTheme="minorHAnsi"/>
      <w:sz w:val="22"/>
      <w:szCs w:val="22"/>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9C2D73"/>
    <w:rPr>
      <w:color w:val="0000FF" w:themeColor="hyperlink"/>
      <w:u w:val="single"/>
    </w:rPr>
  </w:style>
  <w:style w:type="character" w:customStyle="1" w:styleId="UnresolvedMention1">
    <w:name w:val="Unresolved Mention1"/>
    <w:basedOn w:val="DefaultParagraphFont"/>
    <w:uiPriority w:val="99"/>
    <w:semiHidden/>
    <w:unhideWhenUsed/>
    <w:rsid w:val="009C2D73"/>
    <w:rPr>
      <w:color w:val="605E5C"/>
      <w:shd w:val="clear" w:color="auto" w:fill="E1DFDD"/>
    </w:rPr>
  </w:style>
  <w:style w:type="paragraph" w:styleId="NormalWeb">
    <w:name w:val="Normal (Web)"/>
    <w:basedOn w:val="Normal"/>
    <w:uiPriority w:val="99"/>
    <w:semiHidden/>
    <w:unhideWhenUsed/>
    <w:rsid w:val="003B3F9F"/>
    <w:pPr>
      <w:spacing w:before="100" w:beforeAutospacing="1" w:after="100" w:afterAutospacing="1"/>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5F470D"/>
  </w:style>
  <w:style w:type="paragraph" w:customStyle="1" w:styleId="p28">
    <w:name w:val="p28"/>
    <w:basedOn w:val="Normal"/>
    <w:rsid w:val="005F470D"/>
    <w:pPr>
      <w:widowControl w:val="0"/>
      <w:tabs>
        <w:tab w:val="left" w:pos="680"/>
        <w:tab w:val="left" w:pos="1060"/>
      </w:tabs>
      <w:spacing w:line="240" w:lineRule="atLeast"/>
      <w:ind w:left="432" w:hanging="288"/>
    </w:pPr>
    <w:rPr>
      <w:rFonts w:ascii="Times New Roman" w:eastAsia="Times New Roman" w:hAnsi="Times New Roman" w:cs="Times New Roman"/>
      <w:snapToGrid w:val="0"/>
      <w:szCs w:val="20"/>
    </w:rPr>
  </w:style>
  <w:style w:type="table" w:styleId="TableGrid">
    <w:name w:val="Table Grid"/>
    <w:basedOn w:val="TableNormal"/>
    <w:rsid w:val="005F470D"/>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470D"/>
    <w:pPr>
      <w:autoSpaceDE w:val="0"/>
      <w:autoSpaceDN w:val="0"/>
      <w:adjustRightInd w:val="0"/>
    </w:pPr>
    <w:rPr>
      <w:rFonts w:ascii="Arial" w:eastAsiaTheme="minorHAnsi" w:hAnsi="Arial" w:cs="Arial"/>
      <w:color w:val="000000"/>
    </w:rPr>
  </w:style>
  <w:style w:type="paragraph" w:styleId="CommentSubject">
    <w:name w:val="annotation subject"/>
    <w:basedOn w:val="CommentText"/>
    <w:next w:val="CommentText"/>
    <w:link w:val="CommentSubjectChar"/>
    <w:uiPriority w:val="99"/>
    <w:semiHidden/>
    <w:unhideWhenUsed/>
    <w:rsid w:val="000B11DF"/>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0B11DF"/>
    <w:rPr>
      <w:rFonts w:eastAsiaTheme="minorHAnsi"/>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2"/>
      <w:szCs w:val="22"/>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curement.bz@und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ik6ItOUu6UXb5N6dvgcALLiuuQ==">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1740</Words>
  <Characters>9922</Characters>
  <Application>Microsoft Office Word</Application>
  <DocSecurity>0</DocSecurity>
  <Lines>82</Lines>
  <Paragraphs>23</Paragraphs>
  <ScaleCrop>false</ScaleCrop>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Hector Alpuche</cp:lastModifiedBy>
  <cp:revision>4</cp:revision>
  <dcterms:created xsi:type="dcterms:W3CDTF">2021-05-11T15:59:00Z</dcterms:created>
  <dcterms:modified xsi:type="dcterms:W3CDTF">2021-05-11T16:15:00Z</dcterms:modified>
</cp:coreProperties>
</file>