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tl w:val="0"/>
        </w:rPr>
        <w:t xml:space="preserve"> ITB/2021/19844</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color w:val="ff0000"/>
        </w:rPr>
      </w:pPr>
      <w:r w:rsidDel="00000000" w:rsidR="00000000" w:rsidRPr="00000000">
        <w:rPr>
          <w:b w:val="1"/>
          <w:color w:val="ff0000"/>
          <w:rtl w:val="0"/>
        </w:rPr>
        <w:t xml:space="preserve">Check and fill Annex 1 (technical compliance Excel sheet), fill your company signature information, sign and stamp and return it back as PDF document</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Bidders must enter details of offered goods into Annex I: Technical Specifications which is to be submitted with the bid.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Bidders must offer all  requested  items in the ITB. Failure to quote all items  specified in the Annexes will result in disqualification.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Bidders must provide duly compiled Annex 1, Annex 2 including all the technical and financial details of their bids.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Bidders must include in the bid (but not limited to):</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Technical brochure or catalogue with technical details of offered product and photos.</w:t>
      </w:r>
    </w:p>
    <w:p w:rsidR="00000000" w:rsidDel="00000000" w:rsidP="00000000" w:rsidRDefault="00000000" w:rsidRPr="00000000" w14:paraId="00000014">
      <w:pPr>
        <w:numPr>
          <w:ilvl w:val="0"/>
          <w:numId w:val="3"/>
        </w:numPr>
        <w:ind w:left="720" w:hanging="360"/>
        <w:rPr/>
      </w:pPr>
      <w:r w:rsidDel="00000000" w:rsidR="00000000" w:rsidRPr="00000000">
        <w:rPr>
          <w:rtl w:val="0"/>
        </w:rPr>
        <w:t xml:space="preserve">Clear indication and description in Annex 1 and  2 of name/code and Manufacturer of the stand-alone items included, for allowing the evaluation of the technical documentation.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t xml:space="preserve">Delivery term:  DAP to any of UNOPS locations of operations in Kabul, Herat  and Mazar  for  each item should not exceed 1 weeks. Any delivery time beyond 1 weeks will lead to disqualification of the bid.</w:t>
      </w:r>
      <w:r w:rsidDel="00000000" w:rsidR="00000000" w:rsidRPr="00000000">
        <w:rPr>
          <w:rtl w:val="0"/>
        </w:rPr>
      </w:r>
    </w:p>
    <w:p w:rsidR="00000000" w:rsidDel="00000000" w:rsidP="00000000" w:rsidRDefault="00000000" w:rsidRPr="00000000" w14:paraId="00000017">
      <w:pPr>
        <w:tabs>
          <w:tab w:val="left" w:pos="-720"/>
          <w:tab w:val="left" w:pos="0"/>
          <w:tab w:val="left" w:pos="720"/>
          <w:tab w:val="right" w:pos="8640"/>
        </w:tabs>
        <w:ind w:left="142" w:hanging="720"/>
        <w:jc w:val="both"/>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t xml:space="preserve">Additional instructions:</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Part of the technical evaluation criteria for the offers is the supplier ability to deliver to ANY of UNOPS locations of operations. </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The supplier must provide the items that are approved by UNOPS during the samples checking process for all the purchase orders that will be issued after the LTA. If any item or brand of item becomes obsolete in the market, the supplier shall offer to UNOPS alternate brand with same quality and same price and UNOPS has the right to accept or reject the new offered brand.</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pPr>
      <w:r w:rsidDel="00000000" w:rsidR="00000000" w:rsidRPr="00000000">
        <w:rPr>
          <w:rtl w:val="0"/>
        </w:rPr>
        <w:t xml:space="preserve">The bidder shall provide the security bid bond of USD 2000 or equivalent amount in the local currency BEFORE the closure date of ITB. The bond to be provided to UNOPS procurement unit</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Inspections and tests </w:t>
      </w:r>
    </w:p>
    <w:p w:rsidR="00000000" w:rsidDel="00000000" w:rsidP="00000000" w:rsidRDefault="00000000" w:rsidRPr="00000000" w14:paraId="00000022">
      <w:pPr>
        <w:rPr>
          <w:i w:val="1"/>
          <w:color w:val="000000"/>
          <w:highlight w:val="lightGray"/>
        </w:rPr>
      </w:pPr>
      <w:r w:rsidDel="00000000" w:rsidR="00000000" w:rsidRPr="00000000">
        <w:rPr>
          <w:rtl w:val="0"/>
        </w:rPr>
      </w:r>
    </w:p>
    <w:p w:rsidR="00000000" w:rsidDel="00000000" w:rsidP="00000000" w:rsidRDefault="00000000" w:rsidRPr="00000000" w14:paraId="00000023">
      <w:pPr>
        <w:ind w:left="142" w:firstLine="0"/>
        <w:rPr>
          <w:i w:val="1"/>
        </w:rPr>
      </w:pPr>
      <w:r w:rsidDel="00000000" w:rsidR="00000000" w:rsidRPr="00000000">
        <w:rPr>
          <w:rtl w:val="0"/>
        </w:rPr>
        <w:t xml:space="preserve">The following inspections and tests shall be performed:</w:t>
      </w:r>
      <w:r w:rsidDel="00000000" w:rsidR="00000000" w:rsidRPr="00000000">
        <w:rPr>
          <w:rtl w:val="0"/>
        </w:rPr>
      </w:r>
    </w:p>
    <w:p w:rsidR="00000000" w:rsidDel="00000000" w:rsidP="00000000" w:rsidRDefault="00000000" w:rsidRPr="00000000" w14:paraId="00000024">
      <w:pPr>
        <w:ind w:left="142" w:firstLine="0"/>
        <w:rPr>
          <w:highlight w:val="white"/>
        </w:rPr>
      </w:pPr>
      <w:r w:rsidDel="00000000" w:rsidR="00000000" w:rsidRPr="00000000">
        <w:rPr>
          <w:rtl w:val="0"/>
        </w:rPr>
      </w:r>
    </w:p>
    <w:p w:rsidR="00000000" w:rsidDel="00000000" w:rsidP="00000000" w:rsidRDefault="00000000" w:rsidRPr="00000000" w14:paraId="00000025">
      <w:pPr>
        <w:ind w:left="142" w:firstLine="0"/>
        <w:jc w:val="both"/>
        <w:rPr>
          <w:highlight w:val="white"/>
        </w:rPr>
      </w:pPr>
      <w:r w:rsidDel="00000000" w:rsidR="00000000" w:rsidRPr="00000000">
        <w:rPr>
          <w:highlight w:val="white"/>
          <w:rtl w:val="0"/>
        </w:rPr>
        <w:t xml:space="preserve">UNOPS or its representative shall inspect and/or test any or all item (Sample check process before award)  and another inspection of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026">
      <w:pPr>
        <w:ind w:left="142" w:firstLine="0"/>
        <w:jc w:val="both"/>
        <w:rPr>
          <w:highlight w:val="white"/>
        </w:rPr>
      </w:pPr>
      <w:r w:rsidDel="00000000" w:rsidR="00000000" w:rsidRPr="00000000">
        <w:rPr>
          <w:rtl w:val="0"/>
        </w:rPr>
      </w:r>
    </w:p>
    <w:p w:rsidR="00000000" w:rsidDel="00000000" w:rsidP="00000000" w:rsidRDefault="00000000" w:rsidRPr="00000000" w14:paraId="00000027">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ind w:left="142" w:firstLine="0"/>
        <w:jc w:val="both"/>
        <w:rPr>
          <w:rFonts w:ascii="Arial" w:cs="Arial" w:eastAsia="Arial" w:hAnsi="Arial"/>
          <w:b w:val="0"/>
          <w:sz w:val="20"/>
          <w:szCs w:val="20"/>
          <w:highlight w:val="white"/>
        </w:rPr>
      </w:pPr>
      <w:r w:rsidDel="00000000" w:rsidR="00000000" w:rsidRPr="00000000">
        <w:rPr>
          <w:rFonts w:ascii="Arial" w:cs="Arial" w:eastAsia="Arial" w:hAnsi="Arial"/>
          <w:b w:val="0"/>
          <w:sz w:val="20"/>
          <w:szCs w:val="20"/>
          <w:highlight w:val="white"/>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028">
      <w:pPr>
        <w:tabs>
          <w:tab w:val="left" w:pos="-1440"/>
          <w:tab w:val="left" w:pos="7200"/>
          <w:tab w:val="left" w:pos="-1440"/>
          <w:tab w:val="left" w:pos="7200"/>
        </w:tabs>
        <w:rPr/>
      </w:pPr>
      <w:r w:rsidDel="00000000" w:rsidR="00000000" w:rsidRPr="00000000">
        <w:rPr>
          <w:rtl w:val="0"/>
        </w:rPr>
      </w:r>
    </w:p>
    <w:p w:rsidR="00000000" w:rsidDel="00000000" w:rsidP="00000000" w:rsidRDefault="00000000" w:rsidRPr="00000000" w14:paraId="00000029">
      <w:pPr>
        <w:tabs>
          <w:tab w:val="left" w:pos="-1440"/>
          <w:tab w:val="left" w:pos="7200"/>
          <w:tab w:val="left" w:pos="-1440"/>
          <w:tab w:val="left" w:pos="7200"/>
        </w:tabs>
        <w:rPr/>
      </w:pPr>
      <w:r w:rsidDel="00000000" w:rsidR="00000000" w:rsidRPr="00000000">
        <w:rPr>
          <w:rtl w:val="0"/>
        </w:rPr>
      </w:r>
    </w:p>
    <w:p w:rsidR="00000000" w:rsidDel="00000000" w:rsidP="00000000" w:rsidRDefault="00000000" w:rsidRPr="00000000" w14:paraId="0000002A">
      <w:pPr>
        <w:tabs>
          <w:tab w:val="left" w:pos="-1440"/>
          <w:tab w:val="left" w:pos="7200"/>
          <w:tab w:val="left" w:pos="-1440"/>
          <w:tab w:val="left" w:pos="7200"/>
        </w:tabs>
        <w:rPr/>
      </w:pPr>
      <w:r w:rsidDel="00000000" w:rsidR="00000000" w:rsidRPr="00000000">
        <w:rPr>
          <w:rtl w:val="0"/>
        </w:rPr>
        <w:t xml:space="preserve">   Please sign and stamp this document to indicate that you comply with the above instructions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4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rPr>
          <w:b w:val="1"/>
          <w:color w:val="518ecb"/>
          <w:sz w:val="28"/>
          <w:szCs w:val="28"/>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-95243</wp:posOffset>
          </wp:positionH>
          <wp:positionV relativeFrom="paragraph">
            <wp:posOffset>-22551</wp:posOffset>
          </wp:positionV>
          <wp:extent cx="1476375" cy="300038"/>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00038"/>
                  </a:xfrm>
                  <a:prstGeom prst="rect"/>
                  <a:ln/>
                </pic:spPr>
              </pic:pic>
            </a:graphicData>
          </a:graphic>
        </wp:anchor>
      </w:drawing>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EWZgnYGjQ01gv81QTZs23SAwA==">AMUW2mW/q3yZFxXPTC02bUDvfIzF/OCmzP/iMDGUizHXQafvU0IycmC663q/pLRzJSykPOYiUiI3tz++WMG+JCBoz/JWP5X8wJUHxH5NFXP/kHiEvH9Tp8k=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