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82384" w14:textId="3BACC02F" w:rsidR="00456DD0" w:rsidRPr="00B03519" w:rsidRDefault="00B03519" w:rsidP="00B03519">
      <w:pPr>
        <w:jc w:val="center"/>
        <w:rPr>
          <w:b/>
          <w:bCs/>
          <w:noProof/>
        </w:rPr>
      </w:pPr>
      <w:r w:rsidRPr="00B03519">
        <w:rPr>
          <w:b/>
          <w:bCs/>
          <w:noProof/>
        </w:rPr>
        <w:t xml:space="preserve">Webinar 1 - Friday, 23 April 2021 - </w:t>
      </w:r>
      <w:r w:rsidR="00574C5E" w:rsidRPr="00B03519">
        <w:rPr>
          <w:b/>
          <w:bCs/>
          <w:noProof/>
        </w:rPr>
        <w:t>Questions and Answers</w:t>
      </w:r>
    </w:p>
    <w:p w14:paraId="62AC36B0" w14:textId="0EBDA5B5" w:rsidR="00574C5E" w:rsidRDefault="00574C5E">
      <w:pPr>
        <w:rPr>
          <w:noProof/>
        </w:rPr>
      </w:pPr>
      <w:r>
        <w:rPr>
          <w:noProof/>
        </w:rPr>
        <w:t>1) Open links that I have provided using Google Chrome</w:t>
      </w:r>
    </w:p>
    <w:p w14:paraId="4DDBC1A5" w14:textId="6B1B294C" w:rsidR="00B03519" w:rsidRDefault="00574C5E">
      <w:pPr>
        <w:rPr>
          <w:noProof/>
        </w:rPr>
      </w:pPr>
      <w:r>
        <w:rPr>
          <w:noProof/>
        </w:rPr>
        <w:t>2) You can also access tender through UNGM "Tender Notices" then in Reference Field enter "503305"</w:t>
      </w:r>
    </w:p>
    <w:p w14:paraId="6B76A5A2" w14:textId="0C0C4AFD" w:rsidR="00B03519" w:rsidRDefault="00B03519">
      <w:pPr>
        <w:rPr>
          <w:noProof/>
        </w:rPr>
      </w:pPr>
      <w:r>
        <w:rPr>
          <w:noProof/>
        </w:rPr>
        <w:drawing>
          <wp:inline distT="0" distB="0" distL="0" distR="0" wp14:anchorId="2A6037F2" wp14:editId="059CCAC2">
            <wp:extent cx="5175090" cy="2394585"/>
            <wp:effectExtent l="0" t="0" r="698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177956" cy="2395911"/>
                    </a:xfrm>
                    <a:prstGeom prst="rect">
                      <a:avLst/>
                    </a:prstGeom>
                    <a:noFill/>
                    <a:ln>
                      <a:noFill/>
                    </a:ln>
                  </pic:spPr>
                </pic:pic>
              </a:graphicData>
            </a:graphic>
          </wp:inline>
        </w:drawing>
      </w:r>
    </w:p>
    <w:p w14:paraId="4EA5817C" w14:textId="77777777" w:rsidR="00B03519" w:rsidRDefault="00B03519">
      <w:pPr>
        <w:rPr>
          <w:noProof/>
        </w:rPr>
      </w:pPr>
    </w:p>
    <w:p w14:paraId="3364AE6A" w14:textId="7E1CF955" w:rsidR="00574C5E" w:rsidRDefault="00574C5E">
      <w:pPr>
        <w:rPr>
          <w:noProof/>
        </w:rPr>
      </w:pPr>
      <w:r>
        <w:rPr>
          <w:noProof/>
        </w:rPr>
        <w:t>3) Expression of Interest</w:t>
      </w:r>
    </w:p>
    <w:p w14:paraId="0A87D5C5" w14:textId="74D31BA9" w:rsidR="00574C5E" w:rsidRDefault="00574C5E">
      <w:r>
        <w:rPr>
          <w:noProof/>
        </w:rPr>
        <w:drawing>
          <wp:inline distT="0" distB="0" distL="0" distR="0" wp14:anchorId="61D92538" wp14:editId="6275B4E0">
            <wp:extent cx="3892750" cy="182254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92750" cy="1822544"/>
                    </a:xfrm>
                    <a:prstGeom prst="rect">
                      <a:avLst/>
                    </a:prstGeom>
                  </pic:spPr>
                </pic:pic>
              </a:graphicData>
            </a:graphic>
          </wp:inline>
        </w:drawing>
      </w:r>
    </w:p>
    <w:p w14:paraId="38A5286F" w14:textId="70E45DB7" w:rsidR="00574C5E" w:rsidRDefault="00574C5E">
      <w:r>
        <w:t xml:space="preserve">Some of you have received this pop-up, the most important is that you have access to the documents in order to prepare your proposal. </w:t>
      </w:r>
    </w:p>
    <w:p w14:paraId="14CF950A" w14:textId="7BDF1653" w:rsidR="00676039" w:rsidRDefault="00574C5E">
      <w:r>
        <w:t xml:space="preserve">4) </w:t>
      </w:r>
      <w:r w:rsidR="00517ABF">
        <w:t>Forecast is based upon</w:t>
      </w:r>
      <w:r w:rsidR="00676039">
        <w:t xml:space="preserve"> pack size except </w:t>
      </w:r>
      <w:r w:rsidR="00F03929">
        <w:t>tablets</w:t>
      </w:r>
      <w:r w:rsidR="00C84687">
        <w:t>,</w:t>
      </w:r>
      <w:r w:rsidR="00676039">
        <w:t xml:space="preserve"> where forecasted number is total tablets</w:t>
      </w:r>
      <w:r w:rsidR="00C84687">
        <w:t xml:space="preserve"> over 3 year period.</w:t>
      </w:r>
      <w:r w:rsidR="00072FB8">
        <w:t xml:space="preserve"> (revised forecast uploaded in Annex B, 03 May 2021.)</w:t>
      </w:r>
    </w:p>
    <w:p w14:paraId="4D91EA4D" w14:textId="0B613D96" w:rsidR="00676039" w:rsidRDefault="00676039">
      <w:r>
        <w:rPr>
          <w:noProof/>
        </w:rPr>
        <w:drawing>
          <wp:inline distT="0" distB="0" distL="0" distR="0" wp14:anchorId="0D9E2841" wp14:editId="52E93E78">
            <wp:extent cx="5943600" cy="1163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163955"/>
                    </a:xfrm>
                    <a:prstGeom prst="rect">
                      <a:avLst/>
                    </a:prstGeom>
                  </pic:spPr>
                </pic:pic>
              </a:graphicData>
            </a:graphic>
          </wp:inline>
        </w:drawing>
      </w:r>
    </w:p>
    <w:p w14:paraId="2C845B77" w14:textId="23D0E7D9" w:rsidR="00C84687" w:rsidRDefault="00C84687">
      <w:r>
        <w:rPr>
          <w:noProof/>
        </w:rPr>
        <w:lastRenderedPageBreak/>
        <w:drawing>
          <wp:inline distT="0" distB="0" distL="0" distR="0" wp14:anchorId="205B4208" wp14:editId="4CE9D87B">
            <wp:extent cx="5943600" cy="5003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00380"/>
                    </a:xfrm>
                    <a:prstGeom prst="rect">
                      <a:avLst/>
                    </a:prstGeom>
                  </pic:spPr>
                </pic:pic>
              </a:graphicData>
            </a:graphic>
          </wp:inline>
        </w:drawing>
      </w:r>
    </w:p>
    <w:p w14:paraId="117ABF09" w14:textId="77777777" w:rsidR="00C84687" w:rsidRDefault="00C84687"/>
    <w:p w14:paraId="3AC01CBC" w14:textId="6B90E3CA" w:rsidR="00517ABF" w:rsidRDefault="00F03929">
      <w:r>
        <w:t>5) Tender samples submission</w:t>
      </w:r>
    </w:p>
    <w:p w14:paraId="1C4A98CD" w14:textId="77777777" w:rsidR="00C84687" w:rsidRPr="00B03519" w:rsidRDefault="00C84687" w:rsidP="00C84687">
      <w:pPr>
        <w:rPr>
          <w:color w:val="0070C0"/>
        </w:rPr>
      </w:pPr>
      <w:r w:rsidRPr="00B03519">
        <w:rPr>
          <w:color w:val="0070C0"/>
        </w:rPr>
        <w:t xml:space="preserve">Response: </w:t>
      </w:r>
    </w:p>
    <w:p w14:paraId="74D4AA04" w14:textId="77777777" w:rsidR="00C84687" w:rsidRPr="00B03519" w:rsidRDefault="00C84687" w:rsidP="00C84687">
      <w:pPr>
        <w:rPr>
          <w:color w:val="0070C0"/>
        </w:rPr>
      </w:pPr>
      <w:r w:rsidRPr="00B03519">
        <w:rPr>
          <w:color w:val="0070C0"/>
        </w:rPr>
        <w:t xml:space="preserve">Quality assessment is done principally via technical assessment of pharmaceutical </w:t>
      </w:r>
      <w:r w:rsidRPr="00B03519">
        <w:rPr>
          <w:color w:val="0070C0"/>
          <w:u w:val="single"/>
        </w:rPr>
        <w:t>product dossiers</w:t>
      </w:r>
      <w:r w:rsidRPr="00B03519">
        <w:rPr>
          <w:color w:val="0070C0"/>
        </w:rPr>
        <w:t xml:space="preserve">, </w:t>
      </w:r>
      <w:r w:rsidRPr="00B03519">
        <w:rPr>
          <w:color w:val="0070C0"/>
          <w:u w:val="single"/>
        </w:rPr>
        <w:t>samples</w:t>
      </w:r>
      <w:r w:rsidRPr="00B03519">
        <w:rPr>
          <w:color w:val="0070C0"/>
        </w:rPr>
        <w:t xml:space="preserve"> and m</w:t>
      </w:r>
      <w:r w:rsidRPr="00B03519">
        <w:rPr>
          <w:color w:val="0070C0"/>
          <w:u w:val="single"/>
        </w:rPr>
        <w:t>anufacturer Good Manufacturing Practices (GMP).</w:t>
      </w:r>
    </w:p>
    <w:p w14:paraId="1D8B487A" w14:textId="77777777" w:rsidR="00C84687" w:rsidRPr="00B03519" w:rsidRDefault="00C84687" w:rsidP="00C84687">
      <w:pPr>
        <w:rPr>
          <w:color w:val="0070C0"/>
        </w:rPr>
      </w:pPr>
      <w:r w:rsidRPr="00B03519">
        <w:rPr>
          <w:color w:val="0070C0"/>
        </w:rPr>
        <w:t>Proposers will be contacted if and when such samples are required.</w:t>
      </w:r>
    </w:p>
    <w:p w14:paraId="03682EE4" w14:textId="77777777" w:rsidR="00C84687" w:rsidRPr="00B03519" w:rsidRDefault="00C84687" w:rsidP="00C84687">
      <w:pPr>
        <w:rPr>
          <w:color w:val="0070C0"/>
        </w:rPr>
      </w:pPr>
      <w:r w:rsidRPr="00B03519">
        <w:rPr>
          <w:color w:val="0070C0"/>
        </w:rPr>
        <w:t>The deadline for the submission of samples will be indicated at the time of request.</w:t>
      </w:r>
    </w:p>
    <w:p w14:paraId="4EDB87A4" w14:textId="56EF7BDD" w:rsidR="00C84687" w:rsidRDefault="00C84687" w:rsidP="00C84687">
      <w:r w:rsidRPr="00B03519">
        <w:rPr>
          <w:color w:val="0070C0"/>
        </w:rPr>
        <w:t>Proposers will be contacted individually to provide samples and instructions to submit the samples will be sent with the request for the provision of samples</w:t>
      </w:r>
      <w:r>
        <w:t>.</w:t>
      </w:r>
    </w:p>
    <w:p w14:paraId="3C6FAC98" w14:textId="233D1EDC" w:rsidR="00C84687" w:rsidRDefault="00C84687" w:rsidP="00C84687"/>
    <w:p w14:paraId="366CDF05" w14:textId="1AB1519C" w:rsidR="00C84687" w:rsidRDefault="00C84687" w:rsidP="00C84687">
      <w:r>
        <w:t>6) WHO-GMP certificate:</w:t>
      </w:r>
    </w:p>
    <w:p w14:paraId="6F1B4E29" w14:textId="19EB3144" w:rsidR="00C84687" w:rsidRDefault="00C84687" w:rsidP="00C84687">
      <w:pPr>
        <w:rPr>
          <w:color w:val="000000"/>
        </w:rPr>
      </w:pPr>
      <w:r>
        <w:rPr>
          <w:color w:val="000000"/>
        </w:rPr>
        <w:t xml:space="preserve">Q: Our manufacturer have WHO-GMP Certificate plant which is issued by Drug Authority, Govt of India. </w:t>
      </w:r>
    </w:p>
    <w:p w14:paraId="7AD59704" w14:textId="0B29B1DC" w:rsidR="00C84687" w:rsidRDefault="00C84687" w:rsidP="00C84687">
      <w:pPr>
        <w:rPr>
          <w:color w:val="000000"/>
        </w:rPr>
      </w:pPr>
      <w:r>
        <w:rPr>
          <w:color w:val="000000"/>
        </w:rPr>
        <w:t> Kindly let us know if above WHO-GMP plant is eligible to participate for this Tender</w:t>
      </w:r>
    </w:p>
    <w:p w14:paraId="2CFE5534" w14:textId="67CE3F2C" w:rsidR="00C84687" w:rsidRPr="00B03519" w:rsidRDefault="00C84687" w:rsidP="00C84687">
      <w:pPr>
        <w:rPr>
          <w:color w:val="0070C0"/>
          <w:sz w:val="20"/>
          <w:szCs w:val="20"/>
        </w:rPr>
      </w:pPr>
      <w:r w:rsidRPr="00B03519">
        <w:rPr>
          <w:color w:val="0070C0"/>
        </w:rPr>
        <w:t xml:space="preserve">A: We would like to refer you to the tender document and its annexes: </w:t>
      </w:r>
      <w:hyperlink r:id="rId10" w:history="1">
        <w:r w:rsidRPr="00B03519">
          <w:rPr>
            <w:rStyle w:val="Hyperlink"/>
            <w:color w:val="0070C0"/>
            <w:sz w:val="20"/>
            <w:szCs w:val="20"/>
          </w:rPr>
          <w:t>https://www.ungm.org/Public/Notice/126014</w:t>
        </w:r>
      </w:hyperlink>
    </w:p>
    <w:p w14:paraId="341763DD" w14:textId="77777777" w:rsidR="00C84687" w:rsidRPr="00B03519" w:rsidRDefault="00C84687" w:rsidP="00C84687">
      <w:pPr>
        <w:pStyle w:val="ListParagraph"/>
        <w:numPr>
          <w:ilvl w:val="0"/>
          <w:numId w:val="1"/>
        </w:numPr>
        <w:rPr>
          <w:rFonts w:eastAsia="Times New Roman"/>
          <w:color w:val="0070C0"/>
        </w:rPr>
      </w:pPr>
      <w:r w:rsidRPr="00B03519">
        <w:rPr>
          <w:rFonts w:eastAsia="Times New Roman"/>
          <w:color w:val="0070C0"/>
        </w:rPr>
        <w:t>In particular to Annex 1, Annex 2, Annex 2a.</w:t>
      </w:r>
    </w:p>
    <w:p w14:paraId="1856B292" w14:textId="005EE311" w:rsidR="00C84687" w:rsidRPr="00B03519" w:rsidRDefault="00C84687" w:rsidP="00C84687">
      <w:pPr>
        <w:rPr>
          <w:color w:val="0070C0"/>
        </w:rPr>
      </w:pPr>
      <w:r w:rsidRPr="00B03519">
        <w:rPr>
          <w:color w:val="0070C0"/>
        </w:rPr>
        <w:t>These will provide you with an understanding of our requirements with regard to the manufacturing site and also what is expected of you</w:t>
      </w:r>
    </w:p>
    <w:p w14:paraId="0B1F429B" w14:textId="60FDC197" w:rsidR="00C84687" w:rsidRDefault="00C84687" w:rsidP="00C84687">
      <w:r>
        <w:t>7) What are required filled bottoms for below items (response in red)</w:t>
      </w:r>
    </w:p>
    <w:tbl>
      <w:tblPr>
        <w:tblW w:w="0" w:type="auto"/>
        <w:tblInd w:w="720" w:type="dxa"/>
        <w:tblCellMar>
          <w:left w:w="0" w:type="dxa"/>
          <w:right w:w="0" w:type="dxa"/>
        </w:tblCellMar>
        <w:tblLook w:val="04A0" w:firstRow="1" w:lastRow="0" w:firstColumn="1" w:lastColumn="0" w:noHBand="0" w:noVBand="1"/>
      </w:tblPr>
      <w:tblGrid>
        <w:gridCol w:w="2002"/>
        <w:gridCol w:w="2376"/>
        <w:gridCol w:w="1970"/>
        <w:gridCol w:w="2272"/>
      </w:tblGrid>
      <w:tr w:rsidR="00C84687" w14:paraId="4E7BD1FE" w14:textId="77777777" w:rsidTr="00C84687">
        <w:tc>
          <w:tcPr>
            <w:tcW w:w="31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4ADF18" w14:textId="77777777" w:rsidR="00C84687" w:rsidRDefault="00C84687">
            <w:pPr>
              <w:pStyle w:val="ListParagraph"/>
              <w:autoSpaceDE w:val="0"/>
              <w:autoSpaceDN w:val="0"/>
              <w:ind w:left="0"/>
              <w:rPr>
                <w:rFonts w:ascii="Arial" w:hAnsi="Arial" w:cs="Arial"/>
                <w:b/>
                <w:bCs/>
                <w:sz w:val="20"/>
                <w:szCs w:val="20"/>
              </w:rPr>
            </w:pPr>
            <w:r>
              <w:rPr>
                <w:rFonts w:ascii="Arial" w:hAnsi="Arial" w:cs="Arial"/>
                <w:b/>
                <w:bCs/>
                <w:sz w:val="20"/>
                <w:szCs w:val="20"/>
              </w:rPr>
              <w:t>Item No. / Material No.</w:t>
            </w:r>
          </w:p>
        </w:tc>
        <w:tc>
          <w:tcPr>
            <w:tcW w:w="31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5D6AB1" w14:textId="77777777" w:rsidR="00C84687" w:rsidRDefault="00C84687">
            <w:pPr>
              <w:pStyle w:val="ListParagraph"/>
              <w:autoSpaceDE w:val="0"/>
              <w:autoSpaceDN w:val="0"/>
              <w:ind w:left="0"/>
              <w:rPr>
                <w:rFonts w:ascii="Arial" w:hAnsi="Arial" w:cs="Arial"/>
                <w:b/>
                <w:bCs/>
                <w:sz w:val="20"/>
                <w:szCs w:val="20"/>
              </w:rPr>
            </w:pPr>
            <w:r>
              <w:rPr>
                <w:rFonts w:ascii="Arial" w:hAnsi="Arial" w:cs="Arial"/>
                <w:b/>
                <w:bCs/>
                <w:sz w:val="20"/>
                <w:szCs w:val="20"/>
              </w:rPr>
              <w:t xml:space="preserve">Product Name </w:t>
            </w:r>
          </w:p>
        </w:tc>
        <w:tc>
          <w:tcPr>
            <w:tcW w:w="32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2F360" w14:textId="77777777" w:rsidR="00C84687" w:rsidRDefault="00C84687">
            <w:pPr>
              <w:pStyle w:val="ListParagraph"/>
              <w:autoSpaceDE w:val="0"/>
              <w:autoSpaceDN w:val="0"/>
              <w:ind w:left="0"/>
              <w:rPr>
                <w:rFonts w:ascii="Arial" w:hAnsi="Arial" w:cs="Arial"/>
                <w:b/>
                <w:bCs/>
                <w:sz w:val="20"/>
                <w:szCs w:val="20"/>
              </w:rPr>
            </w:pPr>
            <w:r>
              <w:rPr>
                <w:rFonts w:ascii="Arial" w:hAnsi="Arial" w:cs="Arial"/>
                <w:b/>
                <w:bCs/>
                <w:sz w:val="20"/>
                <w:szCs w:val="20"/>
              </w:rPr>
              <w:t>Product Strength</w:t>
            </w:r>
          </w:p>
        </w:tc>
        <w:tc>
          <w:tcPr>
            <w:tcW w:w="40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CF7301" w14:textId="77777777" w:rsidR="00C84687" w:rsidRDefault="00C84687">
            <w:pPr>
              <w:pStyle w:val="ListParagraph"/>
              <w:autoSpaceDE w:val="0"/>
              <w:autoSpaceDN w:val="0"/>
              <w:ind w:left="0"/>
              <w:rPr>
                <w:rFonts w:ascii="Arial" w:hAnsi="Arial" w:cs="Arial"/>
                <w:b/>
                <w:bCs/>
                <w:sz w:val="20"/>
                <w:szCs w:val="20"/>
              </w:rPr>
            </w:pPr>
            <w:r>
              <w:rPr>
                <w:rFonts w:ascii="Arial" w:hAnsi="Arial" w:cs="Arial"/>
                <w:b/>
                <w:bCs/>
                <w:sz w:val="20"/>
                <w:szCs w:val="20"/>
              </w:rPr>
              <w:t>Filled Volume required</w:t>
            </w:r>
          </w:p>
        </w:tc>
      </w:tr>
      <w:tr w:rsidR="00C84687" w14:paraId="18323F18" w14:textId="77777777" w:rsidTr="00C84687">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3D4F0"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Item No. 60 (Material No.: S1555206)</w:t>
            </w:r>
          </w:p>
        </w:tc>
        <w:tc>
          <w:tcPr>
            <w:tcW w:w="3117" w:type="dxa"/>
            <w:tcBorders>
              <w:top w:val="nil"/>
              <w:left w:val="nil"/>
              <w:bottom w:val="single" w:sz="8" w:space="0" w:color="auto"/>
              <w:right w:val="single" w:sz="8" w:space="0" w:color="auto"/>
            </w:tcBorders>
            <w:tcMar>
              <w:top w:w="0" w:type="dxa"/>
              <w:left w:w="108" w:type="dxa"/>
              <w:bottom w:w="0" w:type="dxa"/>
              <w:right w:w="108" w:type="dxa"/>
            </w:tcMar>
            <w:hideMark/>
          </w:tcPr>
          <w:p w14:paraId="027CE8F6"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Lidocaine Injection: 1%(hydrochloride) in vial.(preservative free)</w:t>
            </w:r>
          </w:p>
          <w:p w14:paraId="0D01DCE4" w14:textId="77777777" w:rsidR="00C84687" w:rsidRDefault="00C84687">
            <w:pPr>
              <w:pStyle w:val="ListParagraph"/>
              <w:autoSpaceDE w:val="0"/>
              <w:autoSpaceDN w:val="0"/>
              <w:ind w:left="0"/>
              <w:rPr>
                <w:rFonts w:ascii="Arial" w:hAnsi="Arial" w:cs="Arial"/>
                <w:sz w:val="20"/>
                <w:szCs w:val="20"/>
              </w:rPr>
            </w:pPr>
            <w:r>
              <w:rPr>
                <w:rFonts w:ascii="Arial" w:hAnsi="Arial" w:cs="Arial"/>
                <w:color w:val="FF0000"/>
                <w:sz w:val="20"/>
                <w:szCs w:val="20"/>
              </w:rPr>
              <w:t xml:space="preserve">Preferred 20ml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1B83E129"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Lidocaine Inj. 10mg/ml (1%)</w:t>
            </w:r>
          </w:p>
        </w:tc>
        <w:tc>
          <w:tcPr>
            <w:tcW w:w="4005" w:type="dxa"/>
            <w:tcBorders>
              <w:top w:val="nil"/>
              <w:left w:val="nil"/>
              <w:bottom w:val="single" w:sz="8" w:space="0" w:color="auto"/>
              <w:right w:val="single" w:sz="8" w:space="0" w:color="auto"/>
            </w:tcBorders>
            <w:tcMar>
              <w:top w:w="0" w:type="dxa"/>
              <w:left w:w="108" w:type="dxa"/>
              <w:bottom w:w="0" w:type="dxa"/>
              <w:right w:w="108" w:type="dxa"/>
            </w:tcMar>
            <w:hideMark/>
          </w:tcPr>
          <w:p w14:paraId="2D61B38F"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 xml:space="preserve">2 ml </w:t>
            </w:r>
            <w:r>
              <w:rPr>
                <w:rFonts w:ascii="Arial" w:hAnsi="Arial" w:cs="Arial"/>
                <w:b/>
                <w:bCs/>
                <w:sz w:val="20"/>
                <w:szCs w:val="20"/>
              </w:rPr>
              <w:t>Or</w:t>
            </w:r>
            <w:r>
              <w:rPr>
                <w:rFonts w:ascii="Arial" w:hAnsi="Arial" w:cs="Arial"/>
                <w:sz w:val="20"/>
                <w:szCs w:val="20"/>
              </w:rPr>
              <w:t xml:space="preserve"> 5 ml </w:t>
            </w:r>
            <w:r>
              <w:rPr>
                <w:rFonts w:ascii="Arial" w:hAnsi="Arial" w:cs="Arial"/>
                <w:b/>
                <w:bCs/>
                <w:sz w:val="20"/>
                <w:szCs w:val="20"/>
              </w:rPr>
              <w:t>Or</w:t>
            </w:r>
            <w:r>
              <w:rPr>
                <w:rFonts w:ascii="Arial" w:hAnsi="Arial" w:cs="Arial"/>
                <w:sz w:val="20"/>
                <w:szCs w:val="20"/>
              </w:rPr>
              <w:t xml:space="preserve"> 10 ml </w:t>
            </w:r>
            <w:r>
              <w:rPr>
                <w:rFonts w:ascii="Arial" w:hAnsi="Arial" w:cs="Arial"/>
                <w:b/>
                <w:bCs/>
                <w:sz w:val="20"/>
                <w:szCs w:val="20"/>
              </w:rPr>
              <w:t>Or</w:t>
            </w:r>
            <w:r>
              <w:rPr>
                <w:rFonts w:ascii="Arial" w:hAnsi="Arial" w:cs="Arial"/>
                <w:sz w:val="20"/>
                <w:szCs w:val="20"/>
              </w:rPr>
              <w:t xml:space="preserve"> 20 ml</w:t>
            </w:r>
          </w:p>
        </w:tc>
      </w:tr>
      <w:tr w:rsidR="00C84687" w14:paraId="54917183" w14:textId="77777777" w:rsidTr="00C84687">
        <w:tc>
          <w:tcPr>
            <w:tcW w:w="31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AB3826"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Item No. 70 (Material No.: S1555280)</w:t>
            </w:r>
          </w:p>
        </w:tc>
        <w:tc>
          <w:tcPr>
            <w:tcW w:w="3117" w:type="dxa"/>
            <w:tcBorders>
              <w:top w:val="nil"/>
              <w:left w:val="nil"/>
              <w:bottom w:val="single" w:sz="8" w:space="0" w:color="auto"/>
              <w:right w:val="single" w:sz="8" w:space="0" w:color="auto"/>
            </w:tcBorders>
            <w:tcMar>
              <w:top w:w="0" w:type="dxa"/>
              <w:left w:w="108" w:type="dxa"/>
              <w:bottom w:w="0" w:type="dxa"/>
              <w:right w:w="108" w:type="dxa"/>
            </w:tcMar>
            <w:hideMark/>
          </w:tcPr>
          <w:p w14:paraId="7595E361"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Lidocaine Injection: 2% (hydrochloride) in vial. (preservative free)</w:t>
            </w:r>
          </w:p>
          <w:p w14:paraId="1240F308" w14:textId="77777777" w:rsidR="00C84687" w:rsidRDefault="00C84687">
            <w:pPr>
              <w:pStyle w:val="ListParagraph"/>
              <w:autoSpaceDE w:val="0"/>
              <w:autoSpaceDN w:val="0"/>
              <w:ind w:left="0"/>
              <w:rPr>
                <w:rFonts w:ascii="Arial" w:hAnsi="Arial" w:cs="Arial"/>
                <w:sz w:val="20"/>
                <w:szCs w:val="20"/>
              </w:rPr>
            </w:pPr>
            <w:r>
              <w:rPr>
                <w:rFonts w:ascii="Arial" w:hAnsi="Arial" w:cs="Arial"/>
                <w:color w:val="FF0000"/>
                <w:sz w:val="20"/>
                <w:szCs w:val="20"/>
              </w:rPr>
              <w:t xml:space="preserve">Preferred 50ml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60B837DF"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Lidocaine Inj. 20mg/ml (2%)</w:t>
            </w:r>
          </w:p>
        </w:tc>
        <w:tc>
          <w:tcPr>
            <w:tcW w:w="4005" w:type="dxa"/>
            <w:tcBorders>
              <w:top w:val="nil"/>
              <w:left w:val="nil"/>
              <w:bottom w:val="single" w:sz="8" w:space="0" w:color="auto"/>
              <w:right w:val="single" w:sz="8" w:space="0" w:color="auto"/>
            </w:tcBorders>
            <w:tcMar>
              <w:top w:w="0" w:type="dxa"/>
              <w:left w:w="108" w:type="dxa"/>
              <w:bottom w:w="0" w:type="dxa"/>
              <w:right w:w="108" w:type="dxa"/>
            </w:tcMar>
            <w:hideMark/>
          </w:tcPr>
          <w:p w14:paraId="1644482C" w14:textId="77777777" w:rsidR="00C84687" w:rsidRDefault="00C84687">
            <w:pPr>
              <w:pStyle w:val="ListParagraph"/>
              <w:autoSpaceDE w:val="0"/>
              <w:autoSpaceDN w:val="0"/>
              <w:ind w:left="0"/>
              <w:rPr>
                <w:rFonts w:ascii="Arial" w:hAnsi="Arial" w:cs="Arial"/>
                <w:sz w:val="20"/>
                <w:szCs w:val="20"/>
              </w:rPr>
            </w:pPr>
            <w:r>
              <w:rPr>
                <w:rFonts w:ascii="Arial" w:hAnsi="Arial" w:cs="Arial"/>
                <w:sz w:val="20"/>
                <w:szCs w:val="20"/>
              </w:rPr>
              <w:t xml:space="preserve">2 ml </w:t>
            </w:r>
            <w:r>
              <w:rPr>
                <w:rFonts w:ascii="Arial" w:hAnsi="Arial" w:cs="Arial"/>
                <w:b/>
                <w:bCs/>
                <w:sz w:val="20"/>
                <w:szCs w:val="20"/>
              </w:rPr>
              <w:t>Or</w:t>
            </w:r>
            <w:r>
              <w:rPr>
                <w:rFonts w:ascii="Arial" w:hAnsi="Arial" w:cs="Arial"/>
                <w:sz w:val="20"/>
                <w:szCs w:val="20"/>
              </w:rPr>
              <w:t xml:space="preserve"> 5 ml </w:t>
            </w:r>
            <w:r>
              <w:rPr>
                <w:rFonts w:ascii="Arial" w:hAnsi="Arial" w:cs="Arial"/>
                <w:b/>
                <w:bCs/>
                <w:sz w:val="20"/>
                <w:szCs w:val="20"/>
              </w:rPr>
              <w:t>Or</w:t>
            </w:r>
            <w:r>
              <w:rPr>
                <w:rFonts w:ascii="Arial" w:hAnsi="Arial" w:cs="Arial"/>
                <w:sz w:val="20"/>
                <w:szCs w:val="20"/>
              </w:rPr>
              <w:t xml:space="preserve"> 10 ml </w:t>
            </w:r>
            <w:r>
              <w:rPr>
                <w:rFonts w:ascii="Arial" w:hAnsi="Arial" w:cs="Arial"/>
                <w:b/>
                <w:bCs/>
                <w:sz w:val="20"/>
                <w:szCs w:val="20"/>
              </w:rPr>
              <w:t>Or</w:t>
            </w:r>
            <w:r>
              <w:rPr>
                <w:rFonts w:ascii="Arial" w:hAnsi="Arial" w:cs="Arial"/>
                <w:sz w:val="20"/>
                <w:szCs w:val="20"/>
              </w:rPr>
              <w:t xml:space="preserve"> 20 ml</w:t>
            </w:r>
          </w:p>
        </w:tc>
      </w:tr>
    </w:tbl>
    <w:p w14:paraId="6ABC8AE6" w14:textId="77777777" w:rsidR="00C84687" w:rsidRDefault="00C84687" w:rsidP="00C84687">
      <w:pPr>
        <w:rPr>
          <w:rFonts w:ascii="Calibri" w:hAnsi="Calibri" w:cs="Calibri"/>
        </w:rPr>
      </w:pPr>
    </w:p>
    <w:p w14:paraId="5E29915D" w14:textId="01F8ABC8" w:rsidR="00C84687" w:rsidRDefault="00C84687" w:rsidP="00C84687">
      <w:pPr>
        <w:rPr>
          <w:color w:val="FF0000"/>
        </w:rPr>
      </w:pPr>
      <w:r>
        <w:rPr>
          <w:color w:val="FF0000"/>
        </w:rPr>
        <w:t xml:space="preserve">Invitees can offer alternative pack sizes, strengths and dosage forms </w:t>
      </w:r>
      <w:r>
        <w:rPr>
          <w:b/>
          <w:bCs/>
          <w:color w:val="FF0000"/>
          <w:u w:val="single"/>
        </w:rPr>
        <w:t>ONLY</w:t>
      </w:r>
      <w:r>
        <w:rPr>
          <w:color w:val="FF0000"/>
        </w:rPr>
        <w:t xml:space="preserve"> if they cannot offer the preferred ones. Alternative pack sizes, strengths and dosage forms will only be considered and evaluated if we do not receive adequate offers for our preferred size, strength and dosage form.</w:t>
      </w:r>
    </w:p>
    <w:p w14:paraId="3BE2B6AD" w14:textId="0386EC56" w:rsidR="00C84687" w:rsidRDefault="00C84687" w:rsidP="00C84687">
      <w:pPr>
        <w:rPr>
          <w:color w:val="FF0000"/>
        </w:rPr>
      </w:pPr>
    </w:p>
    <w:p w14:paraId="1FAB69A3" w14:textId="672837DC" w:rsidR="00D5074F" w:rsidRDefault="00C84687" w:rsidP="00AA0B65">
      <w:pPr>
        <w:pStyle w:val="xmsolistparagraph"/>
        <w:spacing w:before="0" w:beforeAutospacing="0" w:after="0" w:afterAutospacing="0"/>
        <w:rPr>
          <w:lang w:val="it-IT"/>
        </w:rPr>
      </w:pPr>
      <w:r w:rsidRPr="00C84687">
        <w:lastRenderedPageBreak/>
        <w:t>8)</w:t>
      </w:r>
      <w:r w:rsidR="00D5074F">
        <w:t xml:space="preserve">  Q1: Always as regards of the methadone in the annex b there are the following strengths: Oral liquid: 5 mg/5  mL and 10 mg/5  mL (hydrochloride). (Procured NS long ago) – it is a typing error or you are requesting the Methadone 5mg/ in 5 ml?  Generally the used strength is 5mg/ml in 1000ml and 10mg/ml in 500ml</w:t>
      </w:r>
    </w:p>
    <w:p w14:paraId="0E0048EA" w14:textId="1ED62CF0" w:rsidR="00D5074F" w:rsidRDefault="00D5074F" w:rsidP="00AA0B65">
      <w:pPr>
        <w:pStyle w:val="xmsolistparagraph"/>
        <w:spacing w:before="0" w:beforeAutospacing="0" w:after="0" w:afterAutospacing="0"/>
        <w:rPr>
          <w:lang w:val="it-IT"/>
        </w:rPr>
      </w:pPr>
      <w:r>
        <w:t>Q2 As regards of the others products, like Ketamine, pethidine etc, may we offer our formulations and dosages?</w:t>
      </w:r>
    </w:p>
    <w:p w14:paraId="3BFA036A" w14:textId="6C92DB3C" w:rsidR="00D5074F" w:rsidRDefault="00D5074F" w:rsidP="00AA0B65">
      <w:pPr>
        <w:pStyle w:val="xmsolistparagraph"/>
        <w:spacing w:before="0" w:beforeAutospacing="0" w:after="0" w:afterAutospacing="0"/>
      </w:pPr>
      <w:r>
        <w:t>Q3 The quantity request are in single unit?</w:t>
      </w:r>
    </w:p>
    <w:p w14:paraId="58F18B6D" w14:textId="77777777" w:rsidR="00D5074F" w:rsidRDefault="00D5074F" w:rsidP="00D5074F">
      <w:pPr>
        <w:pStyle w:val="xmsolistparagraph"/>
        <w:spacing w:before="0" w:beforeAutospacing="0" w:after="0" w:afterAutospacing="0"/>
        <w:ind w:left="720"/>
        <w:rPr>
          <w:lang w:val="it-IT"/>
        </w:rPr>
      </w:pPr>
    </w:p>
    <w:p w14:paraId="5A65FC9C" w14:textId="31FDB835" w:rsidR="00D5074F" w:rsidRPr="00AA0B65" w:rsidRDefault="00D5074F" w:rsidP="00D5074F">
      <w:pPr>
        <w:rPr>
          <w:color w:val="0070C0"/>
        </w:rPr>
      </w:pPr>
      <w:r w:rsidRPr="00AA0B65">
        <w:rPr>
          <w:color w:val="0070C0"/>
        </w:rPr>
        <w:t xml:space="preserve"> A1:  the information was extracted from the WHO EML (-there is no typo error)</w:t>
      </w:r>
    </w:p>
    <w:p w14:paraId="1598C46A" w14:textId="77777777" w:rsidR="00D5074F" w:rsidRPr="00AA0B65" w:rsidRDefault="00D5074F" w:rsidP="00AA0B65">
      <w:pPr>
        <w:pStyle w:val="Default"/>
        <w:ind w:firstLine="720"/>
        <w:rPr>
          <w:color w:val="0070C0"/>
          <w:sz w:val="20"/>
          <w:szCs w:val="20"/>
        </w:rPr>
      </w:pPr>
      <w:r w:rsidRPr="00AA0B65">
        <w:rPr>
          <w:b/>
          <w:bCs/>
          <w:i/>
          <w:iCs/>
          <w:color w:val="0070C0"/>
          <w:sz w:val="20"/>
          <w:szCs w:val="20"/>
        </w:rPr>
        <w:t xml:space="preserve">Tablet: </w:t>
      </w:r>
      <w:r w:rsidRPr="00AA0B65">
        <w:rPr>
          <w:i/>
          <w:iCs/>
          <w:color w:val="0070C0"/>
          <w:sz w:val="20"/>
          <w:szCs w:val="20"/>
        </w:rPr>
        <w:t xml:space="preserve">5 mg; 10 mg (as hydrochloride) </w:t>
      </w:r>
    </w:p>
    <w:p w14:paraId="20B3E4E3" w14:textId="77777777" w:rsidR="00D5074F" w:rsidRPr="00AA0B65" w:rsidRDefault="00D5074F" w:rsidP="00AA0B65">
      <w:pPr>
        <w:pStyle w:val="Default"/>
        <w:ind w:firstLine="720"/>
        <w:rPr>
          <w:color w:val="0070C0"/>
          <w:sz w:val="20"/>
          <w:szCs w:val="20"/>
        </w:rPr>
      </w:pPr>
      <w:r w:rsidRPr="00AA0B65">
        <w:rPr>
          <w:b/>
          <w:bCs/>
          <w:i/>
          <w:iCs/>
          <w:color w:val="0070C0"/>
          <w:sz w:val="20"/>
          <w:szCs w:val="20"/>
        </w:rPr>
        <w:t xml:space="preserve">Oral liquid: </w:t>
      </w:r>
      <w:r w:rsidRPr="00AA0B65">
        <w:rPr>
          <w:i/>
          <w:iCs/>
          <w:color w:val="0070C0"/>
          <w:sz w:val="20"/>
          <w:szCs w:val="20"/>
        </w:rPr>
        <w:t xml:space="preserve">5mg/ 5mL; 10mg/ 5mL (as hydrochloride) </w:t>
      </w:r>
    </w:p>
    <w:p w14:paraId="30608BCB" w14:textId="77777777" w:rsidR="00D5074F" w:rsidRPr="00AA0B65" w:rsidRDefault="00D5074F" w:rsidP="00AA0B65">
      <w:pPr>
        <w:ind w:firstLine="720"/>
        <w:rPr>
          <w:i/>
          <w:iCs/>
          <w:color w:val="0070C0"/>
          <w:sz w:val="20"/>
          <w:szCs w:val="20"/>
        </w:rPr>
      </w:pPr>
      <w:r w:rsidRPr="00AA0B65">
        <w:rPr>
          <w:b/>
          <w:bCs/>
          <w:i/>
          <w:iCs/>
          <w:color w:val="0070C0"/>
          <w:sz w:val="20"/>
          <w:szCs w:val="20"/>
        </w:rPr>
        <w:t xml:space="preserve">Concentrate for oral liquid: </w:t>
      </w:r>
      <w:r w:rsidRPr="00AA0B65">
        <w:rPr>
          <w:i/>
          <w:iCs/>
          <w:color w:val="0070C0"/>
          <w:sz w:val="20"/>
          <w:szCs w:val="20"/>
        </w:rPr>
        <w:t>5 mg/ mL; 10mg/ mL (as hydrochloride).</w:t>
      </w:r>
    </w:p>
    <w:p w14:paraId="02DFAE7C" w14:textId="77777777" w:rsidR="00D5074F" w:rsidRPr="00AA0B65" w:rsidRDefault="00D5074F" w:rsidP="00D5074F">
      <w:pPr>
        <w:rPr>
          <w:color w:val="0070C0"/>
        </w:rPr>
      </w:pPr>
      <w:r w:rsidRPr="00AA0B65">
        <w:rPr>
          <w:color w:val="0070C0"/>
        </w:rPr>
        <w:t>Please feel free to offer the products that you have under your portfolio for consideration.</w:t>
      </w:r>
    </w:p>
    <w:p w14:paraId="5A358650" w14:textId="486CF184" w:rsidR="00D5074F" w:rsidRPr="00AA0B65" w:rsidRDefault="00AA0B65" w:rsidP="00D5074F">
      <w:pPr>
        <w:rPr>
          <w:color w:val="0070C0"/>
        </w:rPr>
      </w:pPr>
      <w:r w:rsidRPr="00AA0B65">
        <w:rPr>
          <w:color w:val="0070C0"/>
        </w:rPr>
        <w:t>A2</w:t>
      </w:r>
      <w:r w:rsidR="00D5074F" w:rsidRPr="00AA0B65">
        <w:rPr>
          <w:color w:val="0070C0"/>
        </w:rPr>
        <w:t>. Please feel free to offer what you have.</w:t>
      </w:r>
    </w:p>
    <w:p w14:paraId="526E9EE7" w14:textId="51AEA81E" w:rsidR="00D5074F" w:rsidRDefault="00AA0B65" w:rsidP="00D5074F">
      <w:pPr>
        <w:rPr>
          <w:color w:val="0070C0"/>
        </w:rPr>
      </w:pPr>
      <w:r w:rsidRPr="00AA0B65">
        <w:rPr>
          <w:color w:val="0070C0"/>
        </w:rPr>
        <w:t>A3</w:t>
      </w:r>
      <w:r w:rsidR="00D5074F" w:rsidRPr="00AA0B65">
        <w:rPr>
          <w:color w:val="0070C0"/>
        </w:rPr>
        <w:t>. Preference is for single unit; however you can offer the pack sizes that you have under your portfolio for consideration.</w:t>
      </w:r>
    </w:p>
    <w:p w14:paraId="34745E91" w14:textId="77777777" w:rsidR="00B03519" w:rsidRPr="00AA0B65" w:rsidRDefault="00B03519" w:rsidP="00D5074F">
      <w:pPr>
        <w:rPr>
          <w:color w:val="0070C0"/>
        </w:rPr>
      </w:pPr>
    </w:p>
    <w:p w14:paraId="5E91541A" w14:textId="70B85D9C" w:rsidR="00AA0B65" w:rsidRDefault="00AA0B65" w:rsidP="00AA0B65">
      <w:r w:rsidRPr="00AA0B65">
        <w:t>9)</w:t>
      </w:r>
      <w:r>
        <w:t xml:space="preserve"> Technical dossiers submission process for manufacturers:</w:t>
      </w:r>
    </w:p>
    <w:p w14:paraId="08545C51" w14:textId="22325F11" w:rsidR="00AA0B65" w:rsidRDefault="00AA0B65" w:rsidP="00AA0B65">
      <w:pPr>
        <w:rPr>
          <w:sz w:val="20"/>
          <w:szCs w:val="20"/>
        </w:rPr>
      </w:pPr>
      <w:r>
        <w:rPr>
          <w:b/>
          <w:bCs/>
          <w:sz w:val="20"/>
          <w:szCs w:val="20"/>
        </w:rPr>
        <w:t>  </w:t>
      </w:r>
      <w:r>
        <w:rPr>
          <w:sz w:val="20"/>
          <w:szCs w:val="20"/>
        </w:rPr>
        <w:t xml:space="preserve">For detailed information, please refer </w:t>
      </w:r>
      <w:r>
        <w:rPr>
          <w:sz w:val="20"/>
          <w:szCs w:val="20"/>
          <w:highlight w:val="yellow"/>
        </w:rPr>
        <w:t>ANNEX 2 –</w:t>
      </w:r>
      <w:r>
        <w:rPr>
          <w:sz w:val="20"/>
          <w:szCs w:val="20"/>
        </w:rPr>
        <w:t xml:space="preserve"> INSTRUCTIONS FOR TECHNICAL PROPOSALS </w:t>
      </w:r>
    </w:p>
    <w:p w14:paraId="27664500" w14:textId="77777777" w:rsidR="00AA0B65" w:rsidRDefault="00AA0B65" w:rsidP="00AA0B65">
      <w:pPr>
        <w:rPr>
          <w:sz w:val="20"/>
          <w:szCs w:val="20"/>
        </w:rPr>
      </w:pPr>
      <w:r>
        <w:rPr>
          <w:sz w:val="20"/>
          <w:szCs w:val="20"/>
        </w:rPr>
        <w:t xml:space="preserve">This section is intended to ensure that technical dossiers are submitted in a manner that they can be easily identified, stored, retrieved and assessed in an efficient manner. </w:t>
      </w:r>
    </w:p>
    <w:p w14:paraId="1971E5F9" w14:textId="77777777" w:rsidR="00AA0B65" w:rsidRDefault="00AA0B65" w:rsidP="00AA0B65">
      <w:pPr>
        <w:rPr>
          <w:sz w:val="20"/>
          <w:szCs w:val="20"/>
        </w:rPr>
      </w:pPr>
      <w:r>
        <w:rPr>
          <w:sz w:val="20"/>
          <w:szCs w:val="20"/>
        </w:rPr>
        <w:t xml:space="preserve">All technical documents MUST be UPLOADED to a UNICEF SharePoint  site as per instructions in </w:t>
      </w:r>
      <w:r>
        <w:rPr>
          <w:sz w:val="20"/>
          <w:szCs w:val="20"/>
          <w:highlight w:val="yellow"/>
        </w:rPr>
        <w:t>Annex 2h.</w:t>
      </w:r>
      <w:r>
        <w:rPr>
          <w:sz w:val="20"/>
          <w:szCs w:val="20"/>
        </w:rPr>
        <w:t xml:space="preserve"> </w:t>
      </w:r>
    </w:p>
    <w:p w14:paraId="47424B92" w14:textId="77777777" w:rsidR="00AA0B65" w:rsidRDefault="00AA0B65" w:rsidP="00AA0B65">
      <w:pPr>
        <w:ind w:left="720"/>
        <w:rPr>
          <w:sz w:val="20"/>
          <w:szCs w:val="20"/>
        </w:rPr>
      </w:pPr>
      <w:r>
        <w:rPr>
          <w:sz w:val="20"/>
          <w:szCs w:val="20"/>
        </w:rPr>
        <w:t xml:space="preserve">For your SharePoint site to be established, send email to </w:t>
      </w:r>
      <w:hyperlink r:id="rId11" w:history="1">
        <w:r>
          <w:rPr>
            <w:rStyle w:val="Hyperlink"/>
            <w:sz w:val="20"/>
            <w:szCs w:val="20"/>
          </w:rPr>
          <w:t>rshonhiwa@unicef.org</w:t>
        </w:r>
      </w:hyperlink>
      <w:r>
        <w:rPr>
          <w:sz w:val="20"/>
          <w:szCs w:val="20"/>
        </w:rPr>
        <w:t xml:space="preserve">  with full name and address of bidder and INN descriptions of products of interest and their respective manufacturing sites</w:t>
      </w:r>
    </w:p>
    <w:p w14:paraId="542EC7CA" w14:textId="1DA7BE75" w:rsidR="00AA0B65" w:rsidRPr="00AA0B65" w:rsidRDefault="00AA0B65" w:rsidP="00AA0B65">
      <w:pPr>
        <w:rPr>
          <w:sz w:val="20"/>
          <w:szCs w:val="20"/>
        </w:rPr>
      </w:pPr>
      <w:r>
        <w:rPr>
          <w:sz w:val="20"/>
          <w:szCs w:val="20"/>
        </w:rPr>
        <w:t xml:space="preserve"> </w:t>
      </w:r>
      <w:r>
        <w:rPr>
          <w:b/>
          <w:bCs/>
          <w:sz w:val="20"/>
          <w:szCs w:val="20"/>
        </w:rPr>
        <w:t>Please ensure that you have made the commercial offer before sending the request for establishing SharePoint for uploading technical documents.</w:t>
      </w:r>
    </w:p>
    <w:p w14:paraId="4A0DB775" w14:textId="50A90B70" w:rsidR="00AA0B65" w:rsidRDefault="00AA0B65" w:rsidP="00AA0B65">
      <w:pPr>
        <w:rPr>
          <w:b/>
          <w:bCs/>
          <w:sz w:val="20"/>
          <w:szCs w:val="20"/>
        </w:rPr>
      </w:pPr>
      <w:r>
        <w:rPr>
          <w:b/>
          <w:bCs/>
          <w:sz w:val="20"/>
          <w:szCs w:val="20"/>
        </w:rPr>
        <w:t>Please do not uploading any commercial offer or commercial information in Technical dossiers Submission</w:t>
      </w:r>
    </w:p>
    <w:p w14:paraId="0028B16A" w14:textId="77777777" w:rsidR="00B03519" w:rsidRDefault="00B03519" w:rsidP="00AA0B65">
      <w:pPr>
        <w:rPr>
          <w:b/>
          <w:bCs/>
          <w:sz w:val="20"/>
          <w:szCs w:val="20"/>
        </w:rPr>
      </w:pPr>
    </w:p>
    <w:p w14:paraId="25C4A167" w14:textId="08052F64" w:rsidR="00AA0B65" w:rsidRDefault="00AA0B65" w:rsidP="00AA0B65">
      <w:pPr>
        <w:rPr>
          <w:lang w:val="en-GB"/>
        </w:rPr>
      </w:pPr>
      <w:r w:rsidRPr="00AA0B65">
        <w:rPr>
          <w:sz w:val="20"/>
          <w:szCs w:val="20"/>
        </w:rPr>
        <w:t xml:space="preserve">10) Q:  </w:t>
      </w:r>
      <w:r w:rsidRPr="00AA0B65">
        <w:rPr>
          <w:lang w:val="en-GB"/>
        </w:rPr>
        <w:t>Does UNICEF have its own dossier we could use or you are looking for manufacturer which have their own Drug Master Files?</w:t>
      </w:r>
    </w:p>
    <w:p w14:paraId="7968FBF7" w14:textId="5D819AFD" w:rsidR="00AA0B65" w:rsidRPr="00AA0B65" w:rsidRDefault="00AA0B65" w:rsidP="00AA0B65">
      <w:pPr>
        <w:rPr>
          <w:color w:val="0070C0"/>
          <w:sz w:val="20"/>
          <w:szCs w:val="20"/>
        </w:rPr>
      </w:pPr>
      <w:r w:rsidRPr="00AA0B65">
        <w:rPr>
          <w:color w:val="0070C0"/>
          <w:sz w:val="20"/>
          <w:szCs w:val="20"/>
        </w:rPr>
        <w:t>A: UNICEF has its own dossiers for product and Manufacturing site evaluation.  Please refer the link for the dossiers formats Link directly to tender in UNGM:</w:t>
      </w:r>
    </w:p>
    <w:p w14:paraId="01C6555F" w14:textId="5D465F47" w:rsidR="00AA0B65" w:rsidRPr="00AA0B65" w:rsidRDefault="00072FB8" w:rsidP="00AA0B65">
      <w:pPr>
        <w:rPr>
          <w:color w:val="0070C0"/>
          <w:sz w:val="20"/>
          <w:szCs w:val="20"/>
        </w:rPr>
      </w:pPr>
      <w:hyperlink r:id="rId12" w:history="1">
        <w:r w:rsidR="00AA0B65" w:rsidRPr="00AA0B65">
          <w:rPr>
            <w:rStyle w:val="Hyperlink"/>
            <w:color w:val="0070C0"/>
            <w:sz w:val="20"/>
            <w:szCs w:val="20"/>
          </w:rPr>
          <w:t>https://www.ungm.org/Public/Notice/126014</w:t>
        </w:r>
      </w:hyperlink>
    </w:p>
    <w:p w14:paraId="30C5BCD5" w14:textId="77777777" w:rsidR="00AA0B65" w:rsidRPr="00AA0B65" w:rsidRDefault="00AA0B65" w:rsidP="00AA0B65">
      <w:pPr>
        <w:rPr>
          <w:color w:val="0070C0"/>
        </w:rPr>
      </w:pPr>
      <w:r w:rsidRPr="00AA0B65">
        <w:rPr>
          <w:color w:val="0070C0"/>
        </w:rPr>
        <w:t>Quality assessment is done principally via technical assessment of pharmaceutical product dossiers, samples and manufacturer Good Manufacturing Practices (GMP).</w:t>
      </w:r>
    </w:p>
    <w:p w14:paraId="2CEA0E60" w14:textId="77777777" w:rsidR="00AA0B65" w:rsidRPr="00AA0B65" w:rsidRDefault="00AA0B65" w:rsidP="00AA0B65">
      <w:pPr>
        <w:pStyle w:val="ListParagraph"/>
        <w:numPr>
          <w:ilvl w:val="0"/>
          <w:numId w:val="2"/>
        </w:numPr>
        <w:rPr>
          <w:rFonts w:eastAsia="Times New Roman"/>
          <w:color w:val="0070C0"/>
        </w:rPr>
      </w:pPr>
      <w:r w:rsidRPr="00AA0B65">
        <w:rPr>
          <w:rFonts w:eastAsia="Times New Roman"/>
          <w:color w:val="0070C0"/>
        </w:rPr>
        <w:lastRenderedPageBreak/>
        <w:t xml:space="preserve">Technical information required for technical evaluation is collected through the Interagency Finished Pharmaceutical Product Questionnaire (IAFPPQ- </w:t>
      </w:r>
      <w:r w:rsidRPr="00AA0B65">
        <w:rPr>
          <w:rFonts w:eastAsia="Times New Roman"/>
          <w:b/>
          <w:bCs/>
          <w:color w:val="0070C0"/>
          <w:u w:val="single"/>
        </w:rPr>
        <w:t>Annex 2c</w:t>
      </w:r>
      <w:r w:rsidRPr="00AA0B65">
        <w:rPr>
          <w:rFonts w:eastAsia="Times New Roman"/>
          <w:color w:val="0070C0"/>
        </w:rPr>
        <w:t>) which is based on the World Health Organization (WHO) Model quality assurance system for procurement agencies (MQAS)</w:t>
      </w:r>
    </w:p>
    <w:p w14:paraId="7E192A4A" w14:textId="0098332A" w:rsidR="00AA0B65" w:rsidRPr="00494C4A" w:rsidRDefault="00AA0B65" w:rsidP="00AA0B65">
      <w:pPr>
        <w:pStyle w:val="ListParagraph"/>
        <w:numPr>
          <w:ilvl w:val="0"/>
          <w:numId w:val="2"/>
        </w:numPr>
        <w:rPr>
          <w:rFonts w:eastAsia="Times New Roman"/>
          <w:color w:val="0070C0"/>
        </w:rPr>
      </w:pPr>
      <w:r w:rsidRPr="00AA0B65">
        <w:rPr>
          <w:rFonts w:eastAsia="Times New Roman"/>
          <w:color w:val="0070C0"/>
        </w:rPr>
        <w:t>Manufacturer GMP related information is collected through the UNICEF Technical Questionnaire for Pharmaceutical Manufacturers (</w:t>
      </w:r>
      <w:r w:rsidRPr="00AA0B65">
        <w:rPr>
          <w:rFonts w:eastAsia="Times New Roman"/>
          <w:b/>
          <w:bCs/>
          <w:color w:val="0070C0"/>
          <w:u w:val="single"/>
        </w:rPr>
        <w:t>Annex 2a).</w:t>
      </w:r>
    </w:p>
    <w:p w14:paraId="69EF95B1" w14:textId="77777777" w:rsidR="00494C4A" w:rsidRPr="00AA0B65" w:rsidRDefault="00494C4A" w:rsidP="00494C4A">
      <w:pPr>
        <w:pStyle w:val="ListParagraph"/>
        <w:rPr>
          <w:rFonts w:eastAsia="Times New Roman"/>
          <w:color w:val="0070C0"/>
        </w:rPr>
      </w:pPr>
    </w:p>
    <w:p w14:paraId="2678666D" w14:textId="274E936D" w:rsidR="00AA0B65" w:rsidRPr="00AA0B65" w:rsidRDefault="00AA0B65" w:rsidP="00AA0B65">
      <w:pPr>
        <w:rPr>
          <w:color w:val="0070C0"/>
        </w:rPr>
      </w:pPr>
      <w:r w:rsidRPr="00AA0B65">
        <w:rPr>
          <w:color w:val="0070C0"/>
        </w:rPr>
        <w:t>Please refer Annex 1: UNICEF Technical requirements for Pharmaceuticals</w:t>
      </w:r>
    </w:p>
    <w:p w14:paraId="49F7C43A" w14:textId="77777777" w:rsidR="00AA0B65" w:rsidRPr="00AA0B65" w:rsidRDefault="00AA0B65" w:rsidP="00AA0B65">
      <w:pPr>
        <w:rPr>
          <w:lang w:val="en-GB"/>
        </w:rPr>
      </w:pPr>
    </w:p>
    <w:p w14:paraId="44E2D266" w14:textId="0370C609" w:rsidR="00AA0B65" w:rsidRPr="00AA0B65" w:rsidRDefault="00AA0B65" w:rsidP="00AA0B65">
      <w:pPr>
        <w:rPr>
          <w:sz w:val="20"/>
          <w:szCs w:val="20"/>
        </w:rPr>
      </w:pPr>
    </w:p>
    <w:p w14:paraId="7B5ADA3D" w14:textId="77777777" w:rsidR="00AA0B65" w:rsidRDefault="00AA0B65" w:rsidP="00AA0B65">
      <w:pPr>
        <w:rPr>
          <w:sz w:val="20"/>
          <w:szCs w:val="20"/>
        </w:rPr>
      </w:pPr>
    </w:p>
    <w:p w14:paraId="7244D40A" w14:textId="67734520" w:rsidR="00D5074F" w:rsidRPr="00AA0B65" w:rsidRDefault="00D5074F" w:rsidP="00C84687"/>
    <w:p w14:paraId="7BBA87A1" w14:textId="77777777" w:rsidR="00C84687" w:rsidRDefault="00C84687" w:rsidP="00C84687">
      <w:pPr>
        <w:rPr>
          <w:color w:val="FF0000"/>
        </w:rPr>
      </w:pPr>
    </w:p>
    <w:p w14:paraId="307FA6B5" w14:textId="3DF22C71" w:rsidR="00F03929" w:rsidRDefault="00F03929"/>
    <w:sectPr w:rsidR="00F03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97EA3"/>
    <w:multiLevelType w:val="hybridMultilevel"/>
    <w:tmpl w:val="7184627E"/>
    <w:lvl w:ilvl="0" w:tplc="2A6CC51C">
      <w:start w:val="2"/>
      <w:numFmt w:val="bullet"/>
      <w:lvlText w:val="-"/>
      <w:lvlJc w:val="left"/>
      <w:pPr>
        <w:ind w:left="720" w:hanging="360"/>
      </w:pPr>
      <w:rPr>
        <w:rFonts w:ascii="Calibri" w:eastAsia="Calibri" w:hAnsi="Calibri" w:cs="Calibri"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D3612B"/>
    <w:multiLevelType w:val="hybridMultilevel"/>
    <w:tmpl w:val="507AC6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5E"/>
    <w:rsid w:val="00072FB8"/>
    <w:rsid w:val="00456DD0"/>
    <w:rsid w:val="00494C4A"/>
    <w:rsid w:val="00517ABF"/>
    <w:rsid w:val="00574C5E"/>
    <w:rsid w:val="00676039"/>
    <w:rsid w:val="00AA0B65"/>
    <w:rsid w:val="00B03519"/>
    <w:rsid w:val="00C84687"/>
    <w:rsid w:val="00D5074F"/>
    <w:rsid w:val="00F03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8C8E"/>
  <w15:chartTrackingRefBased/>
  <w15:docId w15:val="{E12738C2-35E9-4BF0-A062-A6FD9B08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4687"/>
    <w:rPr>
      <w:color w:val="0000FF"/>
      <w:u w:val="single"/>
    </w:rPr>
  </w:style>
  <w:style w:type="paragraph" w:styleId="ListParagraph">
    <w:name w:val="List Paragraph"/>
    <w:basedOn w:val="Normal"/>
    <w:uiPriority w:val="34"/>
    <w:qFormat/>
    <w:rsid w:val="00C84687"/>
    <w:pPr>
      <w:spacing w:after="0" w:line="240" w:lineRule="auto"/>
      <w:ind w:left="720"/>
    </w:pPr>
    <w:rPr>
      <w:rFonts w:ascii="Calibri" w:hAnsi="Calibri" w:cs="Calibri"/>
    </w:rPr>
  </w:style>
  <w:style w:type="paragraph" w:customStyle="1" w:styleId="xmsolistparagraph">
    <w:name w:val="x_msolistparagraph"/>
    <w:basedOn w:val="Normal"/>
    <w:rsid w:val="00D5074F"/>
    <w:pPr>
      <w:spacing w:before="100" w:beforeAutospacing="1" w:after="100" w:afterAutospacing="1" w:line="240" w:lineRule="auto"/>
    </w:pPr>
    <w:rPr>
      <w:rFonts w:ascii="Calibri" w:hAnsi="Calibri" w:cs="Calibri"/>
    </w:rPr>
  </w:style>
  <w:style w:type="paragraph" w:customStyle="1" w:styleId="Default">
    <w:name w:val="Default"/>
    <w:basedOn w:val="Normal"/>
    <w:rsid w:val="00D5074F"/>
    <w:pPr>
      <w:autoSpaceDE w:val="0"/>
      <w:autoSpaceDN w:val="0"/>
      <w:spacing w:after="0" w:line="240" w:lineRule="auto"/>
    </w:pPr>
    <w:rPr>
      <w:rFonts w:ascii="Palatino Linotype" w:hAnsi="Palatino Linotype"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627315">
      <w:bodyDiv w:val="1"/>
      <w:marLeft w:val="0"/>
      <w:marRight w:val="0"/>
      <w:marTop w:val="0"/>
      <w:marBottom w:val="0"/>
      <w:divBdr>
        <w:top w:val="none" w:sz="0" w:space="0" w:color="auto"/>
        <w:left w:val="none" w:sz="0" w:space="0" w:color="auto"/>
        <w:bottom w:val="none" w:sz="0" w:space="0" w:color="auto"/>
        <w:right w:val="none" w:sz="0" w:space="0" w:color="auto"/>
      </w:divBdr>
    </w:div>
    <w:div w:id="533427404">
      <w:bodyDiv w:val="1"/>
      <w:marLeft w:val="0"/>
      <w:marRight w:val="0"/>
      <w:marTop w:val="0"/>
      <w:marBottom w:val="0"/>
      <w:divBdr>
        <w:top w:val="none" w:sz="0" w:space="0" w:color="auto"/>
        <w:left w:val="none" w:sz="0" w:space="0" w:color="auto"/>
        <w:bottom w:val="none" w:sz="0" w:space="0" w:color="auto"/>
        <w:right w:val="none" w:sz="0" w:space="0" w:color="auto"/>
      </w:divBdr>
    </w:div>
    <w:div w:id="716659579">
      <w:bodyDiv w:val="1"/>
      <w:marLeft w:val="0"/>
      <w:marRight w:val="0"/>
      <w:marTop w:val="0"/>
      <w:marBottom w:val="0"/>
      <w:divBdr>
        <w:top w:val="none" w:sz="0" w:space="0" w:color="auto"/>
        <w:left w:val="none" w:sz="0" w:space="0" w:color="auto"/>
        <w:bottom w:val="none" w:sz="0" w:space="0" w:color="auto"/>
        <w:right w:val="none" w:sz="0" w:space="0" w:color="auto"/>
      </w:divBdr>
    </w:div>
    <w:div w:id="743382328">
      <w:bodyDiv w:val="1"/>
      <w:marLeft w:val="0"/>
      <w:marRight w:val="0"/>
      <w:marTop w:val="0"/>
      <w:marBottom w:val="0"/>
      <w:divBdr>
        <w:top w:val="none" w:sz="0" w:space="0" w:color="auto"/>
        <w:left w:val="none" w:sz="0" w:space="0" w:color="auto"/>
        <w:bottom w:val="none" w:sz="0" w:space="0" w:color="auto"/>
        <w:right w:val="none" w:sz="0" w:space="0" w:color="auto"/>
      </w:divBdr>
    </w:div>
    <w:div w:id="1208686640">
      <w:bodyDiv w:val="1"/>
      <w:marLeft w:val="0"/>
      <w:marRight w:val="0"/>
      <w:marTop w:val="0"/>
      <w:marBottom w:val="0"/>
      <w:divBdr>
        <w:top w:val="none" w:sz="0" w:space="0" w:color="auto"/>
        <w:left w:val="none" w:sz="0" w:space="0" w:color="auto"/>
        <w:bottom w:val="none" w:sz="0" w:space="0" w:color="auto"/>
        <w:right w:val="none" w:sz="0" w:space="0" w:color="auto"/>
      </w:divBdr>
    </w:div>
    <w:div w:id="1339769548">
      <w:bodyDiv w:val="1"/>
      <w:marLeft w:val="0"/>
      <w:marRight w:val="0"/>
      <w:marTop w:val="0"/>
      <w:marBottom w:val="0"/>
      <w:divBdr>
        <w:top w:val="none" w:sz="0" w:space="0" w:color="auto"/>
        <w:left w:val="none" w:sz="0" w:space="0" w:color="auto"/>
        <w:bottom w:val="none" w:sz="0" w:space="0" w:color="auto"/>
        <w:right w:val="none" w:sz="0" w:space="0" w:color="auto"/>
      </w:divBdr>
    </w:div>
    <w:div w:id="1512839369">
      <w:bodyDiv w:val="1"/>
      <w:marLeft w:val="0"/>
      <w:marRight w:val="0"/>
      <w:marTop w:val="0"/>
      <w:marBottom w:val="0"/>
      <w:divBdr>
        <w:top w:val="none" w:sz="0" w:space="0" w:color="auto"/>
        <w:left w:val="none" w:sz="0" w:space="0" w:color="auto"/>
        <w:bottom w:val="none" w:sz="0" w:space="0" w:color="auto"/>
        <w:right w:val="none" w:sz="0" w:space="0" w:color="auto"/>
      </w:divBdr>
    </w:div>
    <w:div w:id="1910651382">
      <w:bodyDiv w:val="1"/>
      <w:marLeft w:val="0"/>
      <w:marRight w:val="0"/>
      <w:marTop w:val="0"/>
      <w:marBottom w:val="0"/>
      <w:divBdr>
        <w:top w:val="none" w:sz="0" w:space="0" w:color="auto"/>
        <w:left w:val="none" w:sz="0" w:space="0" w:color="auto"/>
        <w:bottom w:val="none" w:sz="0" w:space="0" w:color="auto"/>
        <w:right w:val="none" w:sz="0" w:space="0" w:color="auto"/>
      </w:divBdr>
    </w:div>
    <w:div w:id="200582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ungm.org/Public/Notice/126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7379B.8540BD30" TargetMode="External"/><Relationship Id="rId11" Type="http://schemas.openxmlformats.org/officeDocument/2006/relationships/hyperlink" Target="mailto:rshonhiwa@unicef.org" TargetMode="External"/><Relationship Id="rId5" Type="http://schemas.openxmlformats.org/officeDocument/2006/relationships/image" Target="media/image1.jpeg"/><Relationship Id="rId10" Type="http://schemas.openxmlformats.org/officeDocument/2006/relationships/hyperlink" Target="https://www.ungm.org/Public/Notice/12601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5727</TotalTime>
  <Pages>4</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Kernkamp</dc:creator>
  <cp:keywords/>
  <dc:description/>
  <cp:lastModifiedBy>Belinda Kernkamp</cp:lastModifiedBy>
  <cp:revision>6</cp:revision>
  <dcterms:created xsi:type="dcterms:W3CDTF">2021-04-23T08:32:00Z</dcterms:created>
  <dcterms:modified xsi:type="dcterms:W3CDTF">2021-05-03T18:21:00Z</dcterms:modified>
</cp:coreProperties>
</file>