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4BD556" w14:textId="2EC52BE8" w:rsidR="002D6AB2" w:rsidRPr="002D6AB2" w:rsidRDefault="002D6AB2" w:rsidP="00F43B95">
      <w:pPr>
        <w:pStyle w:val="Header"/>
        <w:tabs>
          <w:tab w:val="left" w:pos="6096"/>
        </w:tabs>
        <w:spacing w:line="276" w:lineRule="auto"/>
        <w:ind w:right="28"/>
        <w:contextualSpacing/>
        <w:jc w:val="both"/>
        <w:rPr>
          <w:rFonts w:asciiTheme="minorHAnsi" w:hAnsiTheme="minorHAnsi" w:cstheme="minorHAnsi"/>
          <w:b/>
          <w:spacing w:val="-4"/>
          <w:sz w:val="44"/>
          <w:szCs w:val="44"/>
          <w:lang w:val="en-GB"/>
        </w:rPr>
      </w:pPr>
      <w:r>
        <w:rPr>
          <w:rFonts w:asciiTheme="minorHAnsi" w:hAnsiTheme="minorHAnsi" w:cstheme="minorHAnsi"/>
          <w:b/>
          <w:spacing w:val="-4"/>
          <w:lang w:val="en-GB"/>
        </w:rPr>
        <w:t xml:space="preserve">  </w:t>
      </w:r>
      <w:r>
        <w:rPr>
          <w:rFonts w:asciiTheme="minorHAnsi" w:hAnsiTheme="minorHAnsi" w:cstheme="minorHAnsi"/>
          <w:b/>
          <w:spacing w:val="-4"/>
          <w:lang w:val="en-GB"/>
        </w:rPr>
        <w:tab/>
      </w:r>
      <w:r w:rsidRPr="002D6AB2">
        <w:rPr>
          <w:rFonts w:asciiTheme="minorHAnsi" w:hAnsiTheme="minorHAnsi" w:cstheme="minorHAnsi"/>
          <w:b/>
          <w:spacing w:val="-4"/>
          <w:sz w:val="44"/>
          <w:szCs w:val="44"/>
          <w:lang w:val="en-GB"/>
        </w:rPr>
        <w:t>RE-ADVERTISEMET</w:t>
      </w:r>
    </w:p>
    <w:p w14:paraId="03E6E171" w14:textId="77777777" w:rsidR="002D6AB2" w:rsidRDefault="002D6AB2" w:rsidP="00F43B95">
      <w:pPr>
        <w:pStyle w:val="Header"/>
        <w:tabs>
          <w:tab w:val="left" w:pos="6096"/>
        </w:tabs>
        <w:spacing w:line="276" w:lineRule="auto"/>
        <w:ind w:right="28"/>
        <w:contextualSpacing/>
        <w:jc w:val="both"/>
        <w:rPr>
          <w:rFonts w:asciiTheme="minorHAnsi" w:hAnsiTheme="minorHAnsi" w:cstheme="minorHAnsi"/>
          <w:b/>
          <w:spacing w:val="-4"/>
          <w:lang w:val="en-GB"/>
        </w:rPr>
      </w:pPr>
    </w:p>
    <w:p w14:paraId="60F48CAF" w14:textId="44441BAF" w:rsidR="00F43B95" w:rsidRPr="00020FDE" w:rsidRDefault="007613D8" w:rsidP="00F43B95">
      <w:pPr>
        <w:pStyle w:val="Header"/>
        <w:tabs>
          <w:tab w:val="left" w:pos="6096"/>
        </w:tabs>
        <w:spacing w:line="276" w:lineRule="auto"/>
        <w:ind w:right="28"/>
        <w:contextualSpacing/>
        <w:jc w:val="both"/>
        <w:rPr>
          <w:rFonts w:asciiTheme="minorHAnsi" w:hAnsiTheme="minorHAnsi" w:cstheme="minorHAnsi"/>
          <w:b/>
          <w:spacing w:val="-4"/>
          <w:lang w:val="en-GB"/>
        </w:rPr>
      </w:pPr>
      <w:r w:rsidRPr="00020FDE">
        <w:rPr>
          <w:rFonts w:asciiTheme="minorHAnsi" w:hAnsiTheme="minorHAnsi" w:cstheme="minorHAnsi"/>
          <w:noProof/>
        </w:rPr>
        <w:drawing>
          <wp:anchor distT="0" distB="0" distL="114300" distR="114300" simplePos="0" relativeHeight="251659264" behindDoc="0" locked="0" layoutInCell="1" allowOverlap="1" wp14:anchorId="12CA6B36" wp14:editId="021F6AB7">
            <wp:simplePos x="0" y="0"/>
            <wp:positionH relativeFrom="column">
              <wp:posOffset>5299075</wp:posOffset>
            </wp:positionH>
            <wp:positionV relativeFrom="paragraph">
              <wp:posOffset>-221615</wp:posOffset>
            </wp:positionV>
            <wp:extent cx="1061720" cy="1621975"/>
            <wp:effectExtent l="0" t="0" r="0" b="0"/>
            <wp:wrapNone/>
            <wp:docPr id="10" name="Picture 1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UNDP-Logo-Blue-Large.png"/>
                    <pic:cNvPicPr/>
                  </pic:nvPicPr>
                  <pic:blipFill>
                    <a:blip r:embed="rId7"/>
                    <a:stretch>
                      <a:fillRect/>
                    </a:stretch>
                  </pic:blipFill>
                  <pic:spPr>
                    <a:xfrm>
                      <a:off x="0" y="0"/>
                      <a:ext cx="1062884" cy="1623753"/>
                    </a:xfrm>
                    <a:prstGeom prst="rect">
                      <a:avLst/>
                    </a:prstGeom>
                  </pic:spPr>
                </pic:pic>
              </a:graphicData>
            </a:graphic>
            <wp14:sizeRelH relativeFrom="margin">
              <wp14:pctWidth>0</wp14:pctWidth>
            </wp14:sizeRelH>
            <wp14:sizeRelV relativeFrom="margin">
              <wp14:pctHeight>0</wp14:pctHeight>
            </wp14:sizeRelV>
          </wp:anchor>
        </w:drawing>
      </w:r>
      <w:r w:rsidR="00F43B95" w:rsidRPr="00020FDE">
        <w:rPr>
          <w:rFonts w:asciiTheme="minorHAnsi" w:hAnsiTheme="minorHAnsi" w:cstheme="minorHAnsi"/>
          <w:b/>
          <w:spacing w:val="-4"/>
          <w:lang w:val="en-GB"/>
        </w:rPr>
        <w:t>United Nations Development Programme</w:t>
      </w:r>
    </w:p>
    <w:p w14:paraId="20C6064E" w14:textId="1F435C1E" w:rsidR="00F43B95" w:rsidRPr="00020FDE" w:rsidRDefault="007635BF" w:rsidP="007635BF">
      <w:pPr>
        <w:pStyle w:val="Header"/>
        <w:tabs>
          <w:tab w:val="left" w:pos="6096"/>
        </w:tabs>
        <w:spacing w:line="276" w:lineRule="auto"/>
        <w:ind w:right="28"/>
        <w:contextualSpacing/>
        <w:rPr>
          <w:rFonts w:asciiTheme="minorHAnsi" w:hAnsiTheme="minorHAnsi" w:cstheme="minorHAnsi"/>
          <w:b/>
          <w:spacing w:val="-4"/>
          <w:lang w:val="en-GB"/>
        </w:rPr>
      </w:pPr>
      <w:bookmarkStart w:id="0" w:name="_Hlk64911940"/>
      <w:bookmarkEnd w:id="0"/>
      <w:r w:rsidRPr="00020FDE">
        <w:rPr>
          <w:rFonts w:asciiTheme="minorHAnsi" w:hAnsiTheme="minorHAnsi" w:cstheme="minorHAnsi"/>
          <w:b/>
          <w:spacing w:val="-4"/>
          <w:lang w:val="en-GB"/>
        </w:rPr>
        <w:t xml:space="preserve">                                </w:t>
      </w:r>
      <w:r w:rsidRPr="00020FDE">
        <w:rPr>
          <w:rFonts w:asciiTheme="minorHAnsi" w:hAnsiTheme="minorHAnsi" w:cstheme="minorHAnsi"/>
          <w:noProof/>
        </w:rPr>
        <w:drawing>
          <wp:inline distT="0" distB="0" distL="0" distR="0" wp14:anchorId="0B450880" wp14:editId="7263D79C">
            <wp:extent cx="1026352" cy="970964"/>
            <wp:effectExtent l="0" t="0" r="2540" b="635"/>
            <wp:docPr id="1" name="Picture 1" descr="Malawi government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awi government Log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4037" cy="987695"/>
                    </a:xfrm>
                    <a:prstGeom prst="rect">
                      <a:avLst/>
                    </a:prstGeom>
                    <a:noFill/>
                    <a:ln>
                      <a:noFill/>
                    </a:ln>
                  </pic:spPr>
                </pic:pic>
              </a:graphicData>
            </a:graphic>
          </wp:inline>
        </w:drawing>
      </w:r>
      <w:r w:rsidRPr="00020FDE">
        <w:rPr>
          <w:rFonts w:asciiTheme="minorHAnsi" w:hAnsiTheme="minorHAnsi" w:cstheme="minorHAnsi"/>
          <w:noProof/>
        </w:rPr>
        <w:drawing>
          <wp:anchor distT="0" distB="0" distL="114300" distR="114300" simplePos="0" relativeHeight="251661312" behindDoc="0" locked="0" layoutInCell="1" allowOverlap="1" wp14:anchorId="0B7ABD14" wp14:editId="33C74657">
            <wp:simplePos x="0" y="0"/>
            <wp:positionH relativeFrom="margin">
              <wp:posOffset>-512064</wp:posOffset>
            </wp:positionH>
            <wp:positionV relativeFrom="paragraph">
              <wp:posOffset>173355</wp:posOffset>
            </wp:positionV>
            <wp:extent cx="2222500" cy="831850"/>
            <wp:effectExtent l="0" t="0" r="6350" b="6350"/>
            <wp:wrapSquare wrapText="bothSides"/>
            <wp:docPr id="2" name="image1.jpg" descr="C:\Users\TM\Documents\National Planning Commission\Logo\Jericho\NPC logo - final\NPC LOGO-01.jpg"/>
            <wp:cNvGraphicFramePr/>
            <a:graphic xmlns:a="http://schemas.openxmlformats.org/drawingml/2006/main">
              <a:graphicData uri="http://schemas.openxmlformats.org/drawingml/2006/picture">
                <pic:pic xmlns:pic="http://schemas.openxmlformats.org/drawingml/2006/picture">
                  <pic:nvPicPr>
                    <pic:cNvPr id="2" name="image1.jpg" descr="C:\Users\TM\Documents\National Planning Commission\Logo\Jericho\NPC logo - final\NPC LOGO-01.jpg"/>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222500" cy="831850"/>
                    </a:xfrm>
                    <a:prstGeom prst="rect">
                      <a:avLst/>
                    </a:prstGeom>
                    <a:ln/>
                  </pic:spPr>
                </pic:pic>
              </a:graphicData>
            </a:graphic>
            <wp14:sizeRelH relativeFrom="margin">
              <wp14:pctWidth>0</wp14:pctWidth>
            </wp14:sizeRelH>
            <wp14:sizeRelV relativeFrom="margin">
              <wp14:pctHeight>0</wp14:pctHeight>
            </wp14:sizeRelV>
          </wp:anchor>
        </w:drawing>
      </w:r>
    </w:p>
    <w:p w14:paraId="47B33A0E" w14:textId="77777777" w:rsidR="007613D8" w:rsidRPr="00020FDE" w:rsidRDefault="007613D8" w:rsidP="007635BF">
      <w:pPr>
        <w:rPr>
          <w:rFonts w:asciiTheme="minorHAnsi" w:hAnsiTheme="minorHAnsi" w:cstheme="minorHAnsi"/>
          <w:b/>
        </w:rPr>
      </w:pPr>
    </w:p>
    <w:p w14:paraId="543F167F" w14:textId="7CD26D4E" w:rsidR="00FA604F" w:rsidRPr="00020FDE" w:rsidRDefault="007A0340" w:rsidP="00FA604F">
      <w:pPr>
        <w:jc w:val="center"/>
        <w:rPr>
          <w:rFonts w:asciiTheme="minorHAnsi" w:hAnsiTheme="minorHAnsi" w:cstheme="minorHAnsi"/>
          <w:b/>
        </w:rPr>
      </w:pPr>
      <w:r w:rsidRPr="00020FDE">
        <w:rPr>
          <w:rFonts w:asciiTheme="minorHAnsi" w:hAnsiTheme="minorHAnsi" w:cstheme="minorHAnsi"/>
          <w:b/>
        </w:rPr>
        <w:t xml:space="preserve">Terms of Reference </w:t>
      </w:r>
    </w:p>
    <w:p w14:paraId="7E1D96A1" w14:textId="134EE6CC" w:rsidR="00F43B95" w:rsidRPr="00020FDE" w:rsidRDefault="00F43B95" w:rsidP="00D41A7C">
      <w:pPr>
        <w:spacing w:after="0"/>
        <w:ind w:right="63" w:firstLine="1440"/>
        <w:contextualSpacing/>
        <w:jc w:val="center"/>
        <w:rPr>
          <w:rFonts w:asciiTheme="minorHAnsi" w:hAnsiTheme="minorHAnsi" w:cstheme="minorHAnsi"/>
        </w:rPr>
      </w:pPr>
    </w:p>
    <w:tbl>
      <w:tblPr>
        <w:tblStyle w:val="TableGrid"/>
        <w:tblW w:w="0" w:type="auto"/>
        <w:jc w:val="center"/>
        <w:tblLook w:val="04A0" w:firstRow="1" w:lastRow="0" w:firstColumn="1" w:lastColumn="0" w:noHBand="0" w:noVBand="1"/>
      </w:tblPr>
      <w:tblGrid>
        <w:gridCol w:w="2425"/>
        <w:gridCol w:w="6584"/>
      </w:tblGrid>
      <w:tr w:rsidR="00F43B95" w:rsidRPr="00020FDE" w14:paraId="1DD1B5BE" w14:textId="77777777" w:rsidTr="007635BF">
        <w:trPr>
          <w:trHeight w:val="243"/>
          <w:jc w:val="center"/>
        </w:trPr>
        <w:tc>
          <w:tcPr>
            <w:tcW w:w="2425" w:type="dxa"/>
          </w:tcPr>
          <w:p w14:paraId="5028A38F" w14:textId="77777777" w:rsidR="00F43B95" w:rsidRPr="00020FDE" w:rsidRDefault="00F43B95" w:rsidP="009B17B3">
            <w:pPr>
              <w:jc w:val="both"/>
              <w:rPr>
                <w:rFonts w:asciiTheme="minorHAnsi" w:hAnsiTheme="minorHAnsi" w:cstheme="minorHAnsi"/>
                <w:b/>
                <w:sz w:val="22"/>
                <w:szCs w:val="22"/>
              </w:rPr>
            </w:pPr>
            <w:r w:rsidRPr="00020FDE">
              <w:rPr>
                <w:rFonts w:asciiTheme="minorHAnsi" w:hAnsiTheme="minorHAnsi" w:cstheme="minorHAnsi"/>
                <w:b/>
                <w:sz w:val="22"/>
                <w:szCs w:val="22"/>
              </w:rPr>
              <w:t>Assignment Title</w:t>
            </w:r>
          </w:p>
        </w:tc>
        <w:tc>
          <w:tcPr>
            <w:tcW w:w="6584" w:type="dxa"/>
          </w:tcPr>
          <w:p w14:paraId="42179591" w14:textId="767E6BCA" w:rsidR="00F43B95" w:rsidRPr="00020FDE" w:rsidRDefault="00D45D08" w:rsidP="009B17B3">
            <w:pPr>
              <w:rPr>
                <w:rFonts w:asciiTheme="minorHAnsi" w:hAnsiTheme="minorHAnsi" w:cstheme="minorHAnsi"/>
                <w:sz w:val="22"/>
                <w:szCs w:val="22"/>
              </w:rPr>
            </w:pPr>
            <w:r w:rsidRPr="00020FDE">
              <w:rPr>
                <w:rFonts w:asciiTheme="minorHAnsi" w:hAnsiTheme="minorHAnsi" w:cstheme="minorHAnsi"/>
                <w:sz w:val="22"/>
                <w:szCs w:val="22"/>
              </w:rPr>
              <w:t>Individual Consultant</w:t>
            </w:r>
            <w:r w:rsidR="007613D8" w:rsidRPr="00020FDE">
              <w:rPr>
                <w:rFonts w:asciiTheme="minorHAnsi" w:hAnsiTheme="minorHAnsi" w:cstheme="minorHAnsi"/>
                <w:sz w:val="22"/>
                <w:szCs w:val="22"/>
              </w:rPr>
              <w:t xml:space="preserve"> </w:t>
            </w:r>
            <w:r w:rsidR="007635BF" w:rsidRPr="00020FDE">
              <w:rPr>
                <w:rFonts w:asciiTheme="minorHAnsi" w:hAnsiTheme="minorHAnsi" w:cstheme="minorHAnsi"/>
                <w:sz w:val="22"/>
                <w:szCs w:val="22"/>
              </w:rPr>
              <w:t>to conduct For</w:t>
            </w:r>
            <w:r w:rsidR="00020FDE">
              <w:rPr>
                <w:rFonts w:asciiTheme="minorHAnsi" w:hAnsiTheme="minorHAnsi" w:cstheme="minorHAnsi"/>
                <w:sz w:val="22"/>
                <w:szCs w:val="22"/>
              </w:rPr>
              <w:t>e</w:t>
            </w:r>
            <w:r w:rsidR="007635BF" w:rsidRPr="00020FDE">
              <w:rPr>
                <w:rFonts w:asciiTheme="minorHAnsi" w:hAnsiTheme="minorHAnsi" w:cstheme="minorHAnsi"/>
                <w:sz w:val="22"/>
                <w:szCs w:val="22"/>
              </w:rPr>
              <w:t xml:space="preserve">sight Capacity Needs Assessment and Capacity Building Strategy for the </w:t>
            </w:r>
            <w:r w:rsidR="004F5AF0">
              <w:rPr>
                <w:rFonts w:asciiTheme="minorHAnsi" w:hAnsiTheme="minorHAnsi" w:cstheme="minorHAnsi"/>
                <w:sz w:val="22"/>
                <w:szCs w:val="22"/>
              </w:rPr>
              <w:t xml:space="preserve">National Planning Commission, Ministry of </w:t>
            </w:r>
            <w:r w:rsidR="007635BF" w:rsidRPr="00020FDE">
              <w:rPr>
                <w:rFonts w:asciiTheme="minorHAnsi" w:hAnsiTheme="minorHAnsi" w:cstheme="minorHAnsi"/>
                <w:sz w:val="22"/>
                <w:szCs w:val="22"/>
              </w:rPr>
              <w:t xml:space="preserve">Economic Planning, Development and Public Sector Reforms and United Nations Development Program (UNDP) Malawi </w:t>
            </w:r>
          </w:p>
        </w:tc>
      </w:tr>
      <w:tr w:rsidR="00F43B95" w:rsidRPr="00020FDE" w14:paraId="16C5D7CA" w14:textId="77777777" w:rsidTr="007635BF">
        <w:trPr>
          <w:trHeight w:val="337"/>
          <w:jc w:val="center"/>
        </w:trPr>
        <w:tc>
          <w:tcPr>
            <w:tcW w:w="2425" w:type="dxa"/>
          </w:tcPr>
          <w:p w14:paraId="1135FA3D" w14:textId="77777777" w:rsidR="00F43B95" w:rsidRPr="00020FDE" w:rsidRDefault="00F43B95" w:rsidP="009B17B3">
            <w:pPr>
              <w:jc w:val="both"/>
              <w:rPr>
                <w:rFonts w:asciiTheme="minorHAnsi" w:hAnsiTheme="minorHAnsi" w:cstheme="minorHAnsi"/>
                <w:b/>
                <w:sz w:val="22"/>
                <w:szCs w:val="22"/>
              </w:rPr>
            </w:pPr>
            <w:r w:rsidRPr="00020FDE">
              <w:rPr>
                <w:rFonts w:asciiTheme="minorHAnsi" w:hAnsiTheme="minorHAnsi" w:cstheme="minorHAnsi"/>
                <w:b/>
                <w:sz w:val="22"/>
                <w:szCs w:val="22"/>
              </w:rPr>
              <w:t>Project</w:t>
            </w:r>
          </w:p>
        </w:tc>
        <w:tc>
          <w:tcPr>
            <w:tcW w:w="6584" w:type="dxa"/>
          </w:tcPr>
          <w:p w14:paraId="5ECDC32F" w14:textId="13BDC9AC" w:rsidR="00F43B95" w:rsidRPr="00020FDE" w:rsidRDefault="009E3EC2" w:rsidP="009B17B3">
            <w:pPr>
              <w:rPr>
                <w:rFonts w:asciiTheme="minorHAnsi" w:eastAsia="Times New Roman" w:hAnsiTheme="minorHAnsi" w:cstheme="minorHAnsi"/>
                <w:sz w:val="22"/>
                <w:szCs w:val="22"/>
              </w:rPr>
            </w:pPr>
            <w:r>
              <w:rPr>
                <w:rFonts w:asciiTheme="minorHAnsi" w:hAnsiTheme="minorHAnsi" w:cstheme="minorHAnsi"/>
                <w:sz w:val="22"/>
                <w:szCs w:val="22"/>
              </w:rPr>
              <w:t>Foresight &amp; Anticipatory Governance: Enhancing coordination of Development Implementation</w:t>
            </w:r>
          </w:p>
        </w:tc>
      </w:tr>
      <w:tr w:rsidR="00F43B95" w:rsidRPr="00020FDE" w14:paraId="679B4299" w14:textId="77777777" w:rsidTr="007635BF">
        <w:trPr>
          <w:jc w:val="center"/>
        </w:trPr>
        <w:tc>
          <w:tcPr>
            <w:tcW w:w="2425" w:type="dxa"/>
          </w:tcPr>
          <w:p w14:paraId="3EF42192" w14:textId="77777777" w:rsidR="00F43B95" w:rsidRPr="00020FDE" w:rsidRDefault="00F43B95" w:rsidP="009B17B3">
            <w:pPr>
              <w:jc w:val="both"/>
              <w:rPr>
                <w:rFonts w:asciiTheme="minorHAnsi" w:hAnsiTheme="minorHAnsi" w:cstheme="minorHAnsi"/>
                <w:b/>
                <w:sz w:val="22"/>
                <w:szCs w:val="22"/>
              </w:rPr>
            </w:pPr>
            <w:r w:rsidRPr="00020FDE">
              <w:rPr>
                <w:rFonts w:asciiTheme="minorHAnsi" w:hAnsiTheme="minorHAnsi" w:cstheme="minorHAnsi"/>
                <w:b/>
                <w:sz w:val="22"/>
                <w:szCs w:val="22"/>
              </w:rPr>
              <w:t>Type of Contract</w:t>
            </w:r>
          </w:p>
        </w:tc>
        <w:tc>
          <w:tcPr>
            <w:tcW w:w="6584" w:type="dxa"/>
          </w:tcPr>
          <w:p w14:paraId="36B8B8EE" w14:textId="2BD46AB0" w:rsidR="00F43B95" w:rsidRPr="00020FDE" w:rsidRDefault="00F43B95" w:rsidP="009B17B3">
            <w:pPr>
              <w:tabs>
                <w:tab w:val="left" w:pos="924"/>
              </w:tabs>
              <w:jc w:val="both"/>
              <w:rPr>
                <w:rFonts w:asciiTheme="minorHAnsi" w:hAnsiTheme="minorHAnsi" w:cstheme="minorHAnsi"/>
                <w:sz w:val="22"/>
                <w:szCs w:val="22"/>
              </w:rPr>
            </w:pPr>
            <w:r w:rsidRPr="00020FDE">
              <w:rPr>
                <w:rFonts w:asciiTheme="minorHAnsi" w:hAnsiTheme="minorHAnsi" w:cstheme="minorHAnsi"/>
                <w:sz w:val="22"/>
                <w:szCs w:val="22"/>
              </w:rPr>
              <w:t>In</w:t>
            </w:r>
            <w:r w:rsidR="00D85411" w:rsidRPr="00020FDE">
              <w:rPr>
                <w:rFonts w:asciiTheme="minorHAnsi" w:hAnsiTheme="minorHAnsi" w:cstheme="minorHAnsi"/>
                <w:sz w:val="22"/>
                <w:szCs w:val="22"/>
              </w:rPr>
              <w:t xml:space="preserve">dividual Contract </w:t>
            </w:r>
          </w:p>
        </w:tc>
      </w:tr>
      <w:tr w:rsidR="00F43B95" w:rsidRPr="00020FDE" w14:paraId="0089BB8F" w14:textId="77777777" w:rsidTr="007635BF">
        <w:trPr>
          <w:trHeight w:val="242"/>
          <w:jc w:val="center"/>
        </w:trPr>
        <w:tc>
          <w:tcPr>
            <w:tcW w:w="2425" w:type="dxa"/>
          </w:tcPr>
          <w:p w14:paraId="4A56D401" w14:textId="77777777" w:rsidR="00F43B95" w:rsidRPr="00020FDE" w:rsidRDefault="00F43B95" w:rsidP="009B17B3">
            <w:pPr>
              <w:jc w:val="both"/>
              <w:rPr>
                <w:rFonts w:asciiTheme="minorHAnsi" w:hAnsiTheme="minorHAnsi" w:cstheme="minorHAnsi"/>
                <w:b/>
                <w:sz w:val="22"/>
                <w:szCs w:val="22"/>
              </w:rPr>
            </w:pPr>
            <w:r w:rsidRPr="00020FDE">
              <w:rPr>
                <w:rFonts w:asciiTheme="minorHAnsi" w:hAnsiTheme="minorHAnsi" w:cstheme="minorHAnsi"/>
                <w:b/>
                <w:sz w:val="22"/>
                <w:szCs w:val="22"/>
              </w:rPr>
              <w:t>Contract Period</w:t>
            </w:r>
          </w:p>
        </w:tc>
        <w:tc>
          <w:tcPr>
            <w:tcW w:w="6584" w:type="dxa"/>
          </w:tcPr>
          <w:p w14:paraId="000FFDD6" w14:textId="60A04829" w:rsidR="00F43B95" w:rsidRPr="00020FDE" w:rsidRDefault="009F5607" w:rsidP="005926DD">
            <w:pPr>
              <w:jc w:val="both"/>
              <w:rPr>
                <w:rFonts w:asciiTheme="minorHAnsi" w:hAnsiTheme="minorHAnsi" w:cstheme="minorHAnsi"/>
                <w:bCs/>
                <w:sz w:val="22"/>
                <w:szCs w:val="22"/>
              </w:rPr>
            </w:pPr>
            <w:r>
              <w:rPr>
                <w:rFonts w:asciiTheme="minorHAnsi" w:hAnsiTheme="minorHAnsi" w:cstheme="minorHAnsi"/>
                <w:sz w:val="22"/>
                <w:szCs w:val="22"/>
              </w:rPr>
              <w:t xml:space="preserve">60 </w:t>
            </w:r>
            <w:r w:rsidRPr="00020FDE">
              <w:rPr>
                <w:rFonts w:asciiTheme="minorHAnsi" w:hAnsiTheme="minorHAnsi" w:cstheme="minorHAnsi"/>
                <w:sz w:val="22"/>
                <w:szCs w:val="22"/>
              </w:rPr>
              <w:t>working</w:t>
            </w:r>
            <w:r w:rsidR="0017756D" w:rsidRPr="00020FDE">
              <w:rPr>
                <w:rFonts w:asciiTheme="minorHAnsi" w:hAnsiTheme="minorHAnsi" w:cstheme="minorHAnsi"/>
                <w:bCs/>
                <w:sz w:val="22"/>
                <w:szCs w:val="22"/>
              </w:rPr>
              <w:t xml:space="preserve"> days </w:t>
            </w:r>
          </w:p>
        </w:tc>
      </w:tr>
      <w:tr w:rsidR="00F43B95" w:rsidRPr="00020FDE" w14:paraId="6E3D0180" w14:textId="77777777" w:rsidTr="007635BF">
        <w:trPr>
          <w:jc w:val="center"/>
        </w:trPr>
        <w:tc>
          <w:tcPr>
            <w:tcW w:w="2425" w:type="dxa"/>
          </w:tcPr>
          <w:p w14:paraId="3EED14FF" w14:textId="77777777" w:rsidR="00F43B95" w:rsidRPr="00020FDE" w:rsidRDefault="00F43B95" w:rsidP="009B17B3">
            <w:pPr>
              <w:jc w:val="both"/>
              <w:rPr>
                <w:rFonts w:asciiTheme="minorHAnsi" w:hAnsiTheme="minorHAnsi" w:cstheme="minorHAnsi"/>
                <w:b/>
                <w:sz w:val="22"/>
                <w:szCs w:val="22"/>
              </w:rPr>
            </w:pPr>
            <w:r w:rsidRPr="00020FDE">
              <w:rPr>
                <w:rFonts w:asciiTheme="minorHAnsi" w:hAnsiTheme="minorHAnsi" w:cstheme="minorHAnsi"/>
                <w:b/>
                <w:sz w:val="22"/>
                <w:szCs w:val="22"/>
              </w:rPr>
              <w:t>Supervisor</w:t>
            </w:r>
          </w:p>
        </w:tc>
        <w:tc>
          <w:tcPr>
            <w:tcW w:w="6584" w:type="dxa"/>
          </w:tcPr>
          <w:p w14:paraId="284B5D0A" w14:textId="630076FA" w:rsidR="00F43B95" w:rsidRPr="00020FDE" w:rsidRDefault="00243AA0" w:rsidP="007613D8">
            <w:pPr>
              <w:pStyle w:val="NoSpacing"/>
              <w:rPr>
                <w:rFonts w:asciiTheme="minorHAnsi" w:eastAsia="Calibri" w:hAnsiTheme="minorHAnsi" w:cstheme="minorHAnsi"/>
                <w:bCs/>
                <w:sz w:val="22"/>
                <w:szCs w:val="22"/>
              </w:rPr>
            </w:pPr>
            <w:r>
              <w:rPr>
                <w:rFonts w:asciiTheme="minorHAnsi" w:eastAsia="Calibri" w:hAnsiTheme="minorHAnsi" w:cstheme="minorHAnsi"/>
                <w:bCs/>
                <w:sz w:val="22"/>
                <w:szCs w:val="22"/>
              </w:rPr>
              <w:t>Agnes Chimbiri</w:t>
            </w:r>
          </w:p>
        </w:tc>
      </w:tr>
      <w:tr w:rsidR="00F43B95" w:rsidRPr="00020FDE" w14:paraId="2AE4567D" w14:textId="77777777" w:rsidTr="007635BF">
        <w:trPr>
          <w:jc w:val="center"/>
        </w:trPr>
        <w:tc>
          <w:tcPr>
            <w:tcW w:w="2425" w:type="dxa"/>
          </w:tcPr>
          <w:p w14:paraId="356F8689" w14:textId="77777777" w:rsidR="00F43B95" w:rsidRPr="00020FDE" w:rsidRDefault="00F43B95" w:rsidP="009B17B3">
            <w:pPr>
              <w:jc w:val="both"/>
              <w:rPr>
                <w:rFonts w:asciiTheme="minorHAnsi" w:hAnsiTheme="minorHAnsi" w:cstheme="minorHAnsi"/>
                <w:b/>
                <w:sz w:val="22"/>
                <w:szCs w:val="22"/>
              </w:rPr>
            </w:pPr>
            <w:r w:rsidRPr="00020FDE">
              <w:rPr>
                <w:rFonts w:asciiTheme="minorHAnsi" w:hAnsiTheme="minorHAnsi" w:cstheme="minorHAnsi"/>
                <w:b/>
                <w:sz w:val="22"/>
                <w:szCs w:val="22"/>
              </w:rPr>
              <w:t>Location</w:t>
            </w:r>
          </w:p>
        </w:tc>
        <w:tc>
          <w:tcPr>
            <w:tcW w:w="6584" w:type="dxa"/>
          </w:tcPr>
          <w:p w14:paraId="1288F324" w14:textId="19792059" w:rsidR="00F43B95" w:rsidRPr="00020FDE" w:rsidRDefault="009E3EC2" w:rsidP="009B17B3">
            <w:pPr>
              <w:jc w:val="both"/>
              <w:rPr>
                <w:rFonts w:asciiTheme="minorHAnsi" w:hAnsiTheme="minorHAnsi" w:cstheme="minorHAnsi"/>
                <w:sz w:val="22"/>
                <w:szCs w:val="22"/>
              </w:rPr>
            </w:pPr>
            <w:r>
              <w:rPr>
                <w:rFonts w:asciiTheme="minorHAnsi" w:hAnsiTheme="minorHAnsi" w:cstheme="minorHAnsi"/>
                <w:sz w:val="22"/>
                <w:szCs w:val="22"/>
              </w:rPr>
              <w:t>Lilongwe</w:t>
            </w:r>
          </w:p>
        </w:tc>
      </w:tr>
      <w:tr w:rsidR="00F43B95" w:rsidRPr="00020FDE" w14:paraId="724220D6" w14:textId="77777777" w:rsidTr="007635BF">
        <w:trPr>
          <w:jc w:val="center"/>
        </w:trPr>
        <w:tc>
          <w:tcPr>
            <w:tcW w:w="2425" w:type="dxa"/>
          </w:tcPr>
          <w:p w14:paraId="14D6CBE9" w14:textId="77777777" w:rsidR="00F43B95" w:rsidRPr="00020FDE" w:rsidRDefault="00F43B95" w:rsidP="009B17B3">
            <w:pPr>
              <w:jc w:val="both"/>
              <w:rPr>
                <w:rFonts w:asciiTheme="minorHAnsi" w:hAnsiTheme="minorHAnsi" w:cstheme="minorHAnsi"/>
                <w:b/>
                <w:sz w:val="22"/>
                <w:szCs w:val="22"/>
              </w:rPr>
            </w:pPr>
            <w:r w:rsidRPr="00020FDE">
              <w:rPr>
                <w:rFonts w:asciiTheme="minorHAnsi" w:hAnsiTheme="minorHAnsi" w:cstheme="minorHAnsi"/>
                <w:b/>
                <w:sz w:val="22"/>
                <w:szCs w:val="22"/>
              </w:rPr>
              <w:t>Country</w:t>
            </w:r>
          </w:p>
        </w:tc>
        <w:tc>
          <w:tcPr>
            <w:tcW w:w="6584" w:type="dxa"/>
          </w:tcPr>
          <w:p w14:paraId="0F595C99" w14:textId="52EC31D3" w:rsidR="00F43B95" w:rsidRPr="00020FDE" w:rsidRDefault="00D45D08" w:rsidP="009B17B3">
            <w:pPr>
              <w:jc w:val="both"/>
              <w:rPr>
                <w:rFonts w:asciiTheme="minorHAnsi" w:hAnsiTheme="minorHAnsi" w:cstheme="minorHAnsi"/>
                <w:sz w:val="22"/>
                <w:szCs w:val="22"/>
              </w:rPr>
            </w:pPr>
            <w:r w:rsidRPr="00020FDE">
              <w:rPr>
                <w:rFonts w:asciiTheme="minorHAnsi" w:hAnsiTheme="minorHAnsi" w:cstheme="minorHAnsi"/>
                <w:sz w:val="22"/>
                <w:szCs w:val="22"/>
              </w:rPr>
              <w:t>Malawi</w:t>
            </w:r>
          </w:p>
        </w:tc>
      </w:tr>
    </w:tbl>
    <w:p w14:paraId="6F13ED1B" w14:textId="77777777" w:rsidR="006E7350" w:rsidRPr="00020FDE" w:rsidRDefault="006E7350" w:rsidP="004A412B">
      <w:pPr>
        <w:autoSpaceDE w:val="0"/>
        <w:autoSpaceDN w:val="0"/>
        <w:adjustRightInd w:val="0"/>
        <w:spacing w:after="0" w:line="240" w:lineRule="auto"/>
        <w:jc w:val="both"/>
        <w:rPr>
          <w:rFonts w:asciiTheme="minorHAnsi" w:eastAsia="Times New Roman" w:hAnsiTheme="minorHAnsi" w:cstheme="minorHAnsi"/>
          <w:b/>
        </w:rPr>
      </w:pPr>
    </w:p>
    <w:p w14:paraId="014ABCD8" w14:textId="46387059" w:rsidR="000419D0" w:rsidRPr="00020FDE" w:rsidRDefault="000419D0" w:rsidP="000419D0">
      <w:pPr>
        <w:autoSpaceDE w:val="0"/>
        <w:autoSpaceDN w:val="0"/>
        <w:adjustRightInd w:val="0"/>
        <w:spacing w:after="0" w:line="240" w:lineRule="auto"/>
        <w:jc w:val="both"/>
        <w:rPr>
          <w:rFonts w:asciiTheme="minorHAnsi" w:eastAsia="Times New Roman" w:hAnsiTheme="minorHAnsi" w:cstheme="minorHAnsi"/>
          <w:b/>
        </w:rPr>
      </w:pPr>
      <w:r w:rsidRPr="00020FDE">
        <w:rPr>
          <w:rFonts w:asciiTheme="minorHAnsi" w:eastAsia="Times New Roman" w:hAnsiTheme="minorHAnsi" w:cstheme="minorHAnsi"/>
          <w:b/>
        </w:rPr>
        <w:t>Introduction</w:t>
      </w:r>
    </w:p>
    <w:p w14:paraId="7E3AE962" w14:textId="77777777" w:rsidR="000419D0" w:rsidRPr="00020FDE" w:rsidRDefault="000419D0" w:rsidP="000419D0">
      <w:pPr>
        <w:autoSpaceDE w:val="0"/>
        <w:autoSpaceDN w:val="0"/>
        <w:adjustRightInd w:val="0"/>
        <w:spacing w:after="0" w:line="240" w:lineRule="auto"/>
        <w:jc w:val="both"/>
        <w:rPr>
          <w:rFonts w:asciiTheme="minorHAnsi" w:eastAsia="Times New Roman" w:hAnsiTheme="minorHAnsi" w:cstheme="minorHAnsi"/>
          <w:b/>
        </w:rPr>
      </w:pPr>
    </w:p>
    <w:p w14:paraId="2B3B521B" w14:textId="77777777" w:rsidR="000419D0" w:rsidRPr="00020FDE" w:rsidRDefault="000419D0" w:rsidP="000419D0">
      <w:pPr>
        <w:jc w:val="both"/>
        <w:rPr>
          <w:rFonts w:asciiTheme="minorHAnsi" w:hAnsiTheme="minorHAnsi" w:cstheme="minorHAnsi"/>
        </w:rPr>
      </w:pPr>
      <w:r w:rsidRPr="00020FDE">
        <w:rPr>
          <w:rFonts w:asciiTheme="minorHAnsi" w:hAnsiTheme="minorHAnsi" w:cstheme="minorHAnsi"/>
        </w:rPr>
        <w:t>The National Planning Commission (NPC) and the Ministry of Economic Planning, Development and Public Sector Reforms (MoEPD &amp; PSR) in collaboration with the United Nations Development Programme (UNDP) entered into an agreement to initiate a project on Foresight and Anticipatory Governance: enhancing coordination of development implementation. A consulting firm / consultant is being sought to undertake a Foresight and Horizontal Scanning Capacity Needs Assessment in the NPC, MoEPD &amp; PSR and UNDP, and develop a Foresight Capacity Building strategy.</w:t>
      </w:r>
    </w:p>
    <w:p w14:paraId="1DC9B306" w14:textId="77777777" w:rsidR="000419D0" w:rsidRPr="00020FDE" w:rsidRDefault="000419D0" w:rsidP="000419D0">
      <w:pPr>
        <w:spacing w:after="0" w:line="240" w:lineRule="auto"/>
        <w:rPr>
          <w:rFonts w:asciiTheme="minorHAnsi" w:hAnsiTheme="minorHAnsi" w:cstheme="minorHAnsi"/>
          <w:b/>
          <w:bCs/>
        </w:rPr>
      </w:pPr>
    </w:p>
    <w:p w14:paraId="5DE5AAA8" w14:textId="6BAD9443" w:rsidR="000419D0" w:rsidRPr="00020FDE" w:rsidRDefault="000419D0" w:rsidP="000419D0">
      <w:pPr>
        <w:autoSpaceDE w:val="0"/>
        <w:autoSpaceDN w:val="0"/>
        <w:adjustRightInd w:val="0"/>
        <w:spacing w:after="0" w:line="240" w:lineRule="auto"/>
        <w:jc w:val="both"/>
        <w:rPr>
          <w:rFonts w:asciiTheme="minorHAnsi" w:eastAsia="Times New Roman" w:hAnsiTheme="minorHAnsi" w:cstheme="minorHAnsi"/>
          <w:b/>
        </w:rPr>
      </w:pPr>
      <w:r w:rsidRPr="00020FDE">
        <w:rPr>
          <w:rFonts w:asciiTheme="minorHAnsi" w:eastAsia="Times New Roman" w:hAnsiTheme="minorHAnsi" w:cstheme="minorHAnsi"/>
          <w:b/>
        </w:rPr>
        <w:t>Background of the Foresight and Anticipatory Governance Project</w:t>
      </w:r>
    </w:p>
    <w:p w14:paraId="4ED0DD70" w14:textId="77777777" w:rsidR="000419D0" w:rsidRPr="00020FDE" w:rsidRDefault="000419D0" w:rsidP="000419D0">
      <w:pPr>
        <w:autoSpaceDE w:val="0"/>
        <w:autoSpaceDN w:val="0"/>
        <w:adjustRightInd w:val="0"/>
        <w:spacing w:after="0" w:line="240" w:lineRule="auto"/>
        <w:jc w:val="both"/>
        <w:rPr>
          <w:rFonts w:asciiTheme="minorHAnsi" w:eastAsia="Times New Roman" w:hAnsiTheme="minorHAnsi" w:cstheme="minorHAnsi"/>
          <w:b/>
        </w:rPr>
      </w:pPr>
    </w:p>
    <w:p w14:paraId="3DCBF126" w14:textId="6AFA1C57" w:rsidR="000419D0" w:rsidRDefault="000419D0" w:rsidP="000419D0">
      <w:pPr>
        <w:autoSpaceDE w:val="0"/>
        <w:autoSpaceDN w:val="0"/>
        <w:adjustRightInd w:val="0"/>
        <w:spacing w:after="0"/>
        <w:jc w:val="both"/>
        <w:rPr>
          <w:rFonts w:asciiTheme="minorHAnsi" w:hAnsiTheme="minorHAnsi" w:cstheme="minorHAnsi"/>
          <w:iCs/>
          <w:color w:val="222222"/>
          <w:shd w:val="clear" w:color="auto" w:fill="FFFFFF"/>
        </w:rPr>
      </w:pPr>
      <w:r w:rsidRPr="00020FDE">
        <w:rPr>
          <w:rFonts w:asciiTheme="minorHAnsi" w:hAnsiTheme="minorHAnsi" w:cstheme="minorHAnsi"/>
          <w:iCs/>
          <w:color w:val="222222"/>
          <w:shd w:val="clear" w:color="auto" w:fill="FFFFFF"/>
        </w:rPr>
        <w:t xml:space="preserve">Strategic foresight is a growing area of interest both in the public and private sector. It informs policy by providing more systematic knowledge about relevant trends and developments in an organization’s environment and acts as a driver of reflexive mutual social learning processes among policy-makers, to stimulate the generation of public policy. The governance space is complex, dynamic and ever changing; as such foresight has become a relevant tool in the development of effective policies and programs. </w:t>
      </w:r>
    </w:p>
    <w:p w14:paraId="181E2E78" w14:textId="77777777" w:rsidR="004F5AF0" w:rsidRPr="00020FDE" w:rsidRDefault="004F5AF0" w:rsidP="000419D0">
      <w:pPr>
        <w:autoSpaceDE w:val="0"/>
        <w:autoSpaceDN w:val="0"/>
        <w:adjustRightInd w:val="0"/>
        <w:spacing w:after="0"/>
        <w:jc w:val="both"/>
        <w:rPr>
          <w:rFonts w:asciiTheme="minorHAnsi" w:hAnsiTheme="minorHAnsi" w:cstheme="minorHAnsi"/>
          <w:iCs/>
          <w:color w:val="222222"/>
          <w:shd w:val="clear" w:color="auto" w:fill="FFFFFF"/>
        </w:rPr>
      </w:pPr>
    </w:p>
    <w:p w14:paraId="53EF0204" w14:textId="2A3D475A" w:rsidR="000419D0" w:rsidRPr="00020FDE" w:rsidRDefault="000419D0" w:rsidP="000419D0">
      <w:pPr>
        <w:autoSpaceDE w:val="0"/>
        <w:autoSpaceDN w:val="0"/>
        <w:adjustRightInd w:val="0"/>
        <w:spacing w:after="0"/>
        <w:jc w:val="both"/>
        <w:rPr>
          <w:rFonts w:asciiTheme="minorHAnsi" w:hAnsiTheme="minorHAnsi" w:cstheme="minorHAnsi"/>
          <w:iCs/>
          <w:color w:val="222222"/>
          <w:shd w:val="clear" w:color="auto" w:fill="FFFFFF"/>
        </w:rPr>
      </w:pPr>
      <w:r w:rsidRPr="00020FDE">
        <w:rPr>
          <w:rFonts w:asciiTheme="minorHAnsi" w:hAnsiTheme="minorHAnsi" w:cstheme="minorHAnsi"/>
          <w:iCs/>
          <w:color w:val="222222"/>
          <w:shd w:val="clear" w:color="auto" w:fill="FFFFFF"/>
        </w:rPr>
        <w:t xml:space="preserve">The Foresight &amp; Anticipatory Governance project seeks to develop a foresight and horizontal scanning capability within the NPC, </w:t>
      </w:r>
      <w:proofErr w:type="spellStart"/>
      <w:r w:rsidRPr="00020FDE">
        <w:rPr>
          <w:rFonts w:asciiTheme="minorHAnsi" w:hAnsiTheme="minorHAnsi" w:cstheme="minorHAnsi"/>
          <w:iCs/>
          <w:color w:val="222222"/>
          <w:shd w:val="clear" w:color="auto" w:fill="FFFFFF"/>
        </w:rPr>
        <w:t>MoEDP</w:t>
      </w:r>
      <w:proofErr w:type="spellEnd"/>
      <w:r w:rsidRPr="00020FDE">
        <w:rPr>
          <w:rFonts w:asciiTheme="minorHAnsi" w:hAnsiTheme="minorHAnsi" w:cstheme="minorHAnsi"/>
          <w:iCs/>
          <w:color w:val="222222"/>
          <w:shd w:val="clear" w:color="auto" w:fill="FFFFFF"/>
        </w:rPr>
        <w:t xml:space="preserve"> &amp; PSR and the UNDP, to jointly derive intelligence from observation of relevant global, regional and local developments, to develop effective and relevant and evolving policies and long-term planning and programming. </w:t>
      </w:r>
    </w:p>
    <w:p w14:paraId="132D2AAC" w14:textId="77777777" w:rsidR="000419D0" w:rsidRPr="00020FDE" w:rsidRDefault="000419D0" w:rsidP="000419D0">
      <w:pPr>
        <w:autoSpaceDE w:val="0"/>
        <w:autoSpaceDN w:val="0"/>
        <w:adjustRightInd w:val="0"/>
        <w:spacing w:after="0"/>
        <w:jc w:val="both"/>
        <w:rPr>
          <w:rFonts w:asciiTheme="minorHAnsi" w:hAnsiTheme="minorHAnsi" w:cstheme="minorHAnsi"/>
          <w:iCs/>
          <w:color w:val="222222"/>
          <w:shd w:val="clear" w:color="auto" w:fill="FFFFFF"/>
        </w:rPr>
      </w:pPr>
    </w:p>
    <w:p w14:paraId="46CACC72" w14:textId="0BE71506" w:rsidR="000419D0" w:rsidRPr="00020FDE" w:rsidRDefault="004F5AF0" w:rsidP="000419D0">
      <w:pPr>
        <w:autoSpaceDE w:val="0"/>
        <w:autoSpaceDN w:val="0"/>
        <w:adjustRightInd w:val="0"/>
        <w:spacing w:after="0"/>
        <w:jc w:val="both"/>
        <w:rPr>
          <w:rFonts w:asciiTheme="minorHAnsi" w:hAnsiTheme="minorHAnsi" w:cstheme="minorHAnsi"/>
          <w:iCs/>
          <w:color w:val="222222"/>
          <w:shd w:val="clear" w:color="auto" w:fill="FFFFFF"/>
        </w:rPr>
      </w:pPr>
      <w:r>
        <w:rPr>
          <w:rFonts w:asciiTheme="minorHAnsi" w:hAnsiTheme="minorHAnsi" w:cstheme="minorHAnsi"/>
          <w:iCs/>
          <w:color w:val="222222"/>
          <w:shd w:val="clear" w:color="auto" w:fill="FFFFFF"/>
        </w:rPr>
        <w:t>S</w:t>
      </w:r>
      <w:r w:rsidR="000419D0" w:rsidRPr="00020FDE">
        <w:rPr>
          <w:rFonts w:asciiTheme="minorHAnsi" w:hAnsiTheme="minorHAnsi" w:cstheme="minorHAnsi"/>
          <w:iCs/>
          <w:color w:val="222222"/>
          <w:shd w:val="clear" w:color="auto" w:fill="FFFFFF"/>
        </w:rPr>
        <w:t xml:space="preserve">canning the development horizon and understanding the interdependencies and trickle-down interactions among the various sectors (economic, social, environmental, political, and technological) on future scenarios is key. Multi-Criteria decision making, and cross impact analysis is crucial in developing evidence-based policies and sustainable solutions for the attainment of various development goals and aspirations, both local i.e., Malawi 2063 vision, its operationalizing strategies i.e., the MW2063 10-year Implementation plan, and various sectoral strategies, and at international level, the Sustainable Development Goals (SDGs), and the achievement of the current United Nations Development Assistance Framework (UNDAF). </w:t>
      </w:r>
    </w:p>
    <w:p w14:paraId="6D120196" w14:textId="77777777" w:rsidR="000419D0" w:rsidRPr="00020FDE" w:rsidRDefault="000419D0" w:rsidP="000419D0">
      <w:pPr>
        <w:autoSpaceDE w:val="0"/>
        <w:autoSpaceDN w:val="0"/>
        <w:adjustRightInd w:val="0"/>
        <w:spacing w:after="0"/>
        <w:rPr>
          <w:rFonts w:asciiTheme="minorHAnsi" w:hAnsiTheme="minorHAnsi" w:cstheme="minorHAnsi"/>
          <w:iCs/>
          <w:color w:val="222222"/>
          <w:shd w:val="clear" w:color="auto" w:fill="FFFFFF"/>
        </w:rPr>
      </w:pPr>
    </w:p>
    <w:p w14:paraId="66D3BEF7" w14:textId="08326D28" w:rsidR="000419D0" w:rsidRPr="00020FDE" w:rsidRDefault="000419D0" w:rsidP="000419D0">
      <w:pPr>
        <w:autoSpaceDE w:val="0"/>
        <w:autoSpaceDN w:val="0"/>
        <w:adjustRightInd w:val="0"/>
        <w:spacing w:after="0" w:line="240" w:lineRule="auto"/>
        <w:jc w:val="both"/>
        <w:rPr>
          <w:rFonts w:asciiTheme="minorHAnsi" w:eastAsia="Times New Roman" w:hAnsiTheme="minorHAnsi" w:cstheme="minorHAnsi"/>
          <w:b/>
        </w:rPr>
      </w:pPr>
      <w:r w:rsidRPr="00020FDE">
        <w:rPr>
          <w:rFonts w:asciiTheme="minorHAnsi" w:eastAsia="Times New Roman" w:hAnsiTheme="minorHAnsi" w:cstheme="minorHAnsi"/>
          <w:b/>
        </w:rPr>
        <w:t>Purpose</w:t>
      </w:r>
    </w:p>
    <w:p w14:paraId="64520416" w14:textId="77777777" w:rsidR="000419D0" w:rsidRPr="00020FDE" w:rsidRDefault="000419D0" w:rsidP="000419D0">
      <w:pPr>
        <w:autoSpaceDE w:val="0"/>
        <w:autoSpaceDN w:val="0"/>
        <w:adjustRightInd w:val="0"/>
        <w:spacing w:after="0"/>
        <w:rPr>
          <w:rFonts w:asciiTheme="minorHAnsi" w:hAnsiTheme="minorHAnsi" w:cstheme="minorHAnsi"/>
          <w:b/>
          <w:iCs/>
          <w:color w:val="222222"/>
          <w:shd w:val="clear" w:color="auto" w:fill="FFFFFF"/>
        </w:rPr>
      </w:pPr>
    </w:p>
    <w:p w14:paraId="3973B196" w14:textId="77777777" w:rsidR="000419D0" w:rsidRPr="00020FDE" w:rsidRDefault="000419D0" w:rsidP="000419D0">
      <w:pPr>
        <w:autoSpaceDE w:val="0"/>
        <w:autoSpaceDN w:val="0"/>
        <w:adjustRightInd w:val="0"/>
        <w:spacing w:after="0"/>
        <w:jc w:val="both"/>
        <w:rPr>
          <w:rFonts w:asciiTheme="minorHAnsi" w:hAnsiTheme="minorHAnsi" w:cstheme="minorHAnsi"/>
          <w:iCs/>
          <w:color w:val="222222"/>
          <w:shd w:val="clear" w:color="auto" w:fill="FFFFFF"/>
        </w:rPr>
      </w:pPr>
      <w:r w:rsidRPr="00020FDE">
        <w:rPr>
          <w:rFonts w:asciiTheme="minorHAnsi" w:hAnsiTheme="minorHAnsi" w:cstheme="minorHAnsi"/>
          <w:iCs/>
          <w:color w:val="222222"/>
          <w:shd w:val="clear" w:color="auto" w:fill="FFFFFF"/>
        </w:rPr>
        <w:t xml:space="preserve">The aim of the project is to develop a foresight and horizon scanning capability within NPC, </w:t>
      </w:r>
      <w:proofErr w:type="spellStart"/>
      <w:r w:rsidRPr="00020FDE">
        <w:rPr>
          <w:rFonts w:asciiTheme="minorHAnsi" w:hAnsiTheme="minorHAnsi" w:cstheme="minorHAnsi"/>
          <w:iCs/>
          <w:color w:val="222222"/>
          <w:shd w:val="clear" w:color="auto" w:fill="FFFFFF"/>
        </w:rPr>
        <w:t>MoEDP</w:t>
      </w:r>
      <w:proofErr w:type="spellEnd"/>
      <w:r w:rsidRPr="00020FDE">
        <w:rPr>
          <w:rFonts w:asciiTheme="minorHAnsi" w:hAnsiTheme="minorHAnsi" w:cstheme="minorHAnsi"/>
          <w:iCs/>
          <w:color w:val="222222"/>
          <w:shd w:val="clear" w:color="auto" w:fill="FFFFFF"/>
        </w:rPr>
        <w:t xml:space="preserve"> &amp; PSR and the UNDP to derive intelligence from relevant global, regional, and local development trends and parameters, so as to develop relevant and evolving policies and long-term planning and programming capabilities. The development of such capabilities will ultimately draw linkages of how global, regional and local issues may impact governance in Malawi.  </w:t>
      </w:r>
    </w:p>
    <w:p w14:paraId="2670890E" w14:textId="77777777" w:rsidR="000419D0" w:rsidRPr="00020FDE" w:rsidRDefault="000419D0" w:rsidP="000419D0">
      <w:pPr>
        <w:autoSpaceDE w:val="0"/>
        <w:autoSpaceDN w:val="0"/>
        <w:adjustRightInd w:val="0"/>
        <w:spacing w:after="0"/>
        <w:rPr>
          <w:rFonts w:asciiTheme="minorHAnsi" w:hAnsiTheme="minorHAnsi" w:cstheme="minorHAnsi"/>
          <w:iCs/>
          <w:color w:val="222222"/>
          <w:shd w:val="clear" w:color="auto" w:fill="FFFFFF"/>
        </w:rPr>
      </w:pPr>
    </w:p>
    <w:p w14:paraId="4646B574" w14:textId="35700BA6" w:rsidR="000419D0" w:rsidRPr="00020FDE" w:rsidRDefault="000419D0" w:rsidP="000419D0">
      <w:pPr>
        <w:autoSpaceDE w:val="0"/>
        <w:autoSpaceDN w:val="0"/>
        <w:adjustRightInd w:val="0"/>
        <w:spacing w:after="0" w:line="240" w:lineRule="auto"/>
        <w:jc w:val="both"/>
        <w:rPr>
          <w:rFonts w:asciiTheme="minorHAnsi" w:eastAsia="Times New Roman" w:hAnsiTheme="minorHAnsi" w:cstheme="minorHAnsi"/>
          <w:b/>
        </w:rPr>
      </w:pPr>
      <w:r w:rsidRPr="00020FDE">
        <w:rPr>
          <w:rFonts w:asciiTheme="minorHAnsi" w:eastAsia="Times New Roman" w:hAnsiTheme="minorHAnsi" w:cstheme="minorHAnsi"/>
          <w:b/>
        </w:rPr>
        <w:t>Objective of this Consultancy</w:t>
      </w:r>
    </w:p>
    <w:p w14:paraId="21ABF50A" w14:textId="77777777" w:rsidR="000419D0" w:rsidRPr="00020FDE" w:rsidRDefault="000419D0" w:rsidP="000419D0">
      <w:pPr>
        <w:autoSpaceDE w:val="0"/>
        <w:autoSpaceDN w:val="0"/>
        <w:adjustRightInd w:val="0"/>
        <w:spacing w:after="0"/>
        <w:rPr>
          <w:rFonts w:asciiTheme="minorHAnsi" w:hAnsiTheme="minorHAnsi" w:cstheme="minorHAnsi"/>
          <w:b/>
          <w:iCs/>
          <w:color w:val="222222"/>
          <w:shd w:val="clear" w:color="auto" w:fill="FFFFFF"/>
        </w:rPr>
      </w:pPr>
    </w:p>
    <w:p w14:paraId="5CE44890" w14:textId="77777777" w:rsidR="000419D0" w:rsidRPr="00020FDE" w:rsidRDefault="000419D0" w:rsidP="000419D0">
      <w:pPr>
        <w:jc w:val="both"/>
        <w:rPr>
          <w:rFonts w:asciiTheme="minorHAnsi" w:hAnsiTheme="minorHAnsi" w:cstheme="minorHAnsi"/>
        </w:rPr>
      </w:pPr>
      <w:r w:rsidRPr="00020FDE">
        <w:rPr>
          <w:rFonts w:asciiTheme="minorHAnsi" w:hAnsiTheme="minorHAnsi" w:cstheme="minorHAnsi"/>
        </w:rPr>
        <w:t xml:space="preserve">The Foresight &amp; Anticipatory Governance project seeks to develop foresight capability within the NPC and MoEPD &amp; PSR by introducing new capacities of policy making to induce new paradigms of accountability, trust and renewal in the governance system. This will be achieved by deriving intelligence from the observation of relevant global, regional, and local developments to develop relevant and evolving policies, long-term planning and programming. </w:t>
      </w:r>
    </w:p>
    <w:p w14:paraId="3CC0A48A" w14:textId="77777777" w:rsidR="000419D0" w:rsidRPr="00020FDE" w:rsidRDefault="000419D0" w:rsidP="000419D0">
      <w:pPr>
        <w:jc w:val="both"/>
        <w:rPr>
          <w:rFonts w:asciiTheme="minorHAnsi" w:hAnsiTheme="minorHAnsi" w:cstheme="minorHAnsi"/>
        </w:rPr>
      </w:pPr>
      <w:r w:rsidRPr="00020FDE">
        <w:rPr>
          <w:rFonts w:asciiTheme="minorHAnsi" w:hAnsiTheme="minorHAnsi" w:cstheme="minorHAnsi"/>
        </w:rPr>
        <w:t xml:space="preserve">The project will build capacity at the NPC and the MoEPD &amp; PSR to scan the horizon and understand the interdependencies of emerging signals emanating from various strategic sectors (social, technological, economic, environmental, political) and forecast their impact on the country in terms of plans and policy implementation. The National Planning Commission is therefore calling for expression of interest to conduct Foresight, Horizontal Scanning and Sense-making capability assessment in the NPC, the MoEPD &amp; PSR and UNDP. </w:t>
      </w:r>
      <w:r w:rsidRPr="00020FDE">
        <w:rPr>
          <w:rFonts w:asciiTheme="minorHAnsi" w:hAnsiTheme="minorHAnsi" w:cstheme="minorHAnsi"/>
          <w:iCs/>
          <w:color w:val="222222"/>
          <w:shd w:val="clear" w:color="auto" w:fill="FFFFFF"/>
        </w:rPr>
        <w:t xml:space="preserve">The consultant is to help NPC and MoEPD &amp; PSR have increased capacity in evidenced based planning through enhancement of Foresight capability. </w:t>
      </w:r>
      <w:r w:rsidRPr="00020FDE">
        <w:rPr>
          <w:rFonts w:asciiTheme="minorHAnsi" w:hAnsiTheme="minorHAnsi" w:cstheme="minorHAnsi"/>
        </w:rPr>
        <w:t>The objectives of the consultancy are to:</w:t>
      </w:r>
    </w:p>
    <w:p w14:paraId="45750F02" w14:textId="77777777" w:rsidR="000419D0" w:rsidRPr="00020FDE" w:rsidRDefault="000419D0" w:rsidP="000419D0">
      <w:pPr>
        <w:pStyle w:val="ListParagraph"/>
        <w:numPr>
          <w:ilvl w:val="0"/>
          <w:numId w:val="21"/>
        </w:numPr>
        <w:spacing w:after="160" w:line="259" w:lineRule="auto"/>
        <w:jc w:val="both"/>
        <w:rPr>
          <w:rFonts w:asciiTheme="minorHAnsi" w:hAnsiTheme="minorHAnsi" w:cstheme="minorHAnsi"/>
        </w:rPr>
      </w:pPr>
      <w:r w:rsidRPr="00020FDE">
        <w:rPr>
          <w:rFonts w:asciiTheme="minorHAnsi" w:hAnsiTheme="minorHAnsi" w:cstheme="minorHAnsi"/>
        </w:rPr>
        <w:t>Undertake a foresight capacity assessment at the NPC, the MoEPD &amp; PSR and UNDP.</w:t>
      </w:r>
    </w:p>
    <w:p w14:paraId="36CDA781" w14:textId="605072B6" w:rsidR="000419D0" w:rsidRPr="00020FDE" w:rsidRDefault="000419D0" w:rsidP="000419D0">
      <w:pPr>
        <w:pStyle w:val="ListParagraph"/>
        <w:numPr>
          <w:ilvl w:val="0"/>
          <w:numId w:val="21"/>
        </w:numPr>
        <w:spacing w:after="160" w:line="259" w:lineRule="auto"/>
        <w:jc w:val="both"/>
        <w:rPr>
          <w:rFonts w:asciiTheme="minorHAnsi" w:hAnsiTheme="minorHAnsi" w:cstheme="minorHAnsi"/>
        </w:rPr>
      </w:pPr>
      <w:r w:rsidRPr="00020FDE">
        <w:rPr>
          <w:rFonts w:asciiTheme="minorHAnsi" w:hAnsiTheme="minorHAnsi" w:cstheme="minorHAnsi"/>
        </w:rPr>
        <w:t xml:space="preserve">Develop a comprehensive foresight capacity building strategy which will enable NPC and MoEPD &amp; PSR accelerate the implementation </w:t>
      </w:r>
      <w:r w:rsidR="00BD60D5" w:rsidRPr="00020FDE">
        <w:rPr>
          <w:rFonts w:asciiTheme="minorHAnsi" w:hAnsiTheme="minorHAnsi" w:cstheme="minorHAnsi"/>
        </w:rPr>
        <w:t>of Malawi</w:t>
      </w:r>
      <w:r w:rsidRPr="00020FDE">
        <w:rPr>
          <w:rFonts w:asciiTheme="minorHAnsi" w:hAnsiTheme="minorHAnsi" w:cstheme="minorHAnsi"/>
        </w:rPr>
        <w:t xml:space="preserve"> 2063 vision and its operationalizing strategies, i.e., the MW2063 10-year Implementation Plan, and the Sustainable Development Goals.</w:t>
      </w:r>
      <w:r w:rsidRPr="00020FDE">
        <w:rPr>
          <w:rFonts w:asciiTheme="minorHAnsi" w:hAnsiTheme="minorHAnsi" w:cstheme="minorHAnsi"/>
          <w:b/>
          <w:bCs/>
        </w:rPr>
        <w:t xml:space="preserve"> </w:t>
      </w:r>
    </w:p>
    <w:p w14:paraId="0A9FC94C" w14:textId="77777777" w:rsidR="000419D0" w:rsidRPr="00020FDE" w:rsidRDefault="000419D0" w:rsidP="000419D0">
      <w:pPr>
        <w:pStyle w:val="ListParagraph"/>
        <w:jc w:val="both"/>
        <w:rPr>
          <w:rFonts w:asciiTheme="minorHAnsi" w:hAnsiTheme="minorHAnsi" w:cstheme="minorHAnsi"/>
        </w:rPr>
      </w:pPr>
    </w:p>
    <w:p w14:paraId="2EFA1C63" w14:textId="0F059140" w:rsidR="000419D0" w:rsidRPr="00020FDE" w:rsidRDefault="000419D0" w:rsidP="000419D0">
      <w:pPr>
        <w:autoSpaceDE w:val="0"/>
        <w:autoSpaceDN w:val="0"/>
        <w:adjustRightInd w:val="0"/>
        <w:spacing w:after="0" w:line="240" w:lineRule="auto"/>
        <w:jc w:val="both"/>
        <w:rPr>
          <w:rFonts w:asciiTheme="minorHAnsi" w:eastAsia="Times New Roman" w:hAnsiTheme="minorHAnsi" w:cstheme="minorHAnsi"/>
          <w:b/>
        </w:rPr>
      </w:pPr>
      <w:r w:rsidRPr="00020FDE">
        <w:rPr>
          <w:rFonts w:asciiTheme="minorHAnsi" w:eastAsia="Times New Roman" w:hAnsiTheme="minorHAnsi" w:cstheme="minorHAnsi"/>
          <w:b/>
        </w:rPr>
        <w:t>Specific objectives:</w:t>
      </w:r>
    </w:p>
    <w:p w14:paraId="63A1F746" w14:textId="77777777" w:rsidR="000419D0" w:rsidRPr="00020FDE" w:rsidRDefault="000419D0" w:rsidP="000419D0">
      <w:pPr>
        <w:autoSpaceDE w:val="0"/>
        <w:autoSpaceDN w:val="0"/>
        <w:adjustRightInd w:val="0"/>
        <w:spacing w:after="0" w:line="240" w:lineRule="auto"/>
        <w:jc w:val="both"/>
        <w:rPr>
          <w:rFonts w:asciiTheme="minorHAnsi" w:eastAsia="Times New Roman" w:hAnsiTheme="minorHAnsi" w:cstheme="minorHAnsi"/>
          <w:b/>
        </w:rPr>
      </w:pPr>
    </w:p>
    <w:p w14:paraId="4C1FC925" w14:textId="77777777" w:rsidR="000419D0" w:rsidRPr="00020FDE" w:rsidRDefault="000419D0" w:rsidP="000419D0">
      <w:pPr>
        <w:pStyle w:val="ListParagraph"/>
        <w:numPr>
          <w:ilvl w:val="0"/>
          <w:numId w:val="20"/>
        </w:numPr>
        <w:spacing w:after="160" w:line="259" w:lineRule="auto"/>
        <w:jc w:val="both"/>
        <w:rPr>
          <w:rFonts w:asciiTheme="minorHAnsi" w:hAnsiTheme="minorHAnsi" w:cstheme="minorHAnsi"/>
          <w:b/>
          <w:bCs/>
          <w:color w:val="000000" w:themeColor="text1"/>
        </w:rPr>
      </w:pPr>
      <w:r w:rsidRPr="00020FDE">
        <w:rPr>
          <w:rFonts w:asciiTheme="minorHAnsi" w:hAnsiTheme="minorHAnsi" w:cstheme="minorHAnsi"/>
          <w:color w:val="000000" w:themeColor="text1"/>
        </w:rPr>
        <w:t xml:space="preserve">Assess </w:t>
      </w:r>
      <w:r w:rsidRPr="00020FDE">
        <w:rPr>
          <w:rFonts w:asciiTheme="minorHAnsi" w:hAnsiTheme="minorHAnsi" w:cstheme="minorHAnsi"/>
          <w:b/>
          <w:bCs/>
          <w:color w:val="000000" w:themeColor="text1"/>
        </w:rPr>
        <w:t>intelligence</w:t>
      </w:r>
      <w:r w:rsidRPr="00020FDE">
        <w:rPr>
          <w:rFonts w:asciiTheme="minorHAnsi" w:hAnsiTheme="minorHAnsi" w:cstheme="minorHAnsi"/>
          <w:color w:val="000000" w:themeColor="text1"/>
        </w:rPr>
        <w:t xml:space="preserve"> </w:t>
      </w:r>
      <w:r w:rsidRPr="00020FDE">
        <w:rPr>
          <w:rFonts w:asciiTheme="minorHAnsi" w:hAnsiTheme="minorHAnsi" w:cstheme="minorHAnsi"/>
          <w:b/>
          <w:bCs/>
          <w:color w:val="000000" w:themeColor="text1"/>
        </w:rPr>
        <w:t>capabilities</w:t>
      </w:r>
      <w:r w:rsidRPr="00020FDE">
        <w:rPr>
          <w:rFonts w:asciiTheme="minorHAnsi" w:hAnsiTheme="minorHAnsi" w:cstheme="minorHAnsi"/>
          <w:color w:val="000000" w:themeColor="text1"/>
        </w:rPr>
        <w:t xml:space="preserve"> in the National Planning Commission (NPC) and the Ministry of Economic Planning, Development and Public Sector Reforms (MEPD&amp;PSR) </w:t>
      </w:r>
      <w:r w:rsidRPr="00020FDE">
        <w:rPr>
          <w:rFonts w:asciiTheme="minorHAnsi" w:hAnsiTheme="minorHAnsi" w:cstheme="minorHAnsi"/>
          <w:b/>
          <w:bCs/>
          <w:color w:val="000000" w:themeColor="text1"/>
        </w:rPr>
        <w:t xml:space="preserve">from the observation of relevant global, regional and local developments.  </w:t>
      </w:r>
    </w:p>
    <w:p w14:paraId="7A747FB5" w14:textId="77777777" w:rsidR="000419D0" w:rsidRPr="00020FDE" w:rsidRDefault="000419D0" w:rsidP="000419D0">
      <w:pPr>
        <w:pStyle w:val="ListParagraph"/>
        <w:numPr>
          <w:ilvl w:val="0"/>
          <w:numId w:val="20"/>
        </w:numPr>
        <w:spacing w:after="160" w:line="259" w:lineRule="auto"/>
        <w:jc w:val="both"/>
        <w:rPr>
          <w:rFonts w:asciiTheme="minorHAnsi" w:hAnsiTheme="minorHAnsi" w:cstheme="minorHAnsi"/>
          <w:color w:val="000000" w:themeColor="text1"/>
        </w:rPr>
      </w:pPr>
      <w:r w:rsidRPr="00020FDE">
        <w:rPr>
          <w:rFonts w:asciiTheme="minorHAnsi" w:hAnsiTheme="minorHAnsi" w:cstheme="minorHAnsi"/>
          <w:color w:val="000000" w:themeColor="text1"/>
        </w:rPr>
        <w:lastRenderedPageBreak/>
        <w:t xml:space="preserve">Assess the </w:t>
      </w:r>
      <w:r w:rsidRPr="00020FDE">
        <w:rPr>
          <w:rFonts w:asciiTheme="minorHAnsi" w:hAnsiTheme="minorHAnsi" w:cstheme="minorHAnsi"/>
          <w:b/>
          <w:bCs/>
          <w:color w:val="000000" w:themeColor="text1"/>
        </w:rPr>
        <w:t>capability</w:t>
      </w:r>
      <w:r w:rsidRPr="00020FDE">
        <w:rPr>
          <w:rFonts w:asciiTheme="minorHAnsi" w:hAnsiTheme="minorHAnsi" w:cstheme="minorHAnsi"/>
          <w:color w:val="000000" w:themeColor="text1"/>
        </w:rPr>
        <w:t xml:space="preserve"> of NPC and MoEPD &amp; PSR </w:t>
      </w:r>
      <w:r w:rsidRPr="00020FDE">
        <w:rPr>
          <w:rFonts w:asciiTheme="minorHAnsi" w:hAnsiTheme="minorHAnsi" w:cstheme="minorHAnsi"/>
          <w:b/>
          <w:bCs/>
          <w:color w:val="000000" w:themeColor="text1"/>
        </w:rPr>
        <w:t>to develop relevant and evolving policies and long-term planning and programming</w:t>
      </w:r>
      <w:r w:rsidRPr="00020FDE">
        <w:rPr>
          <w:rFonts w:asciiTheme="minorHAnsi" w:hAnsiTheme="minorHAnsi" w:cstheme="minorHAnsi"/>
          <w:color w:val="000000" w:themeColor="text1"/>
        </w:rPr>
        <w:t>.</w:t>
      </w:r>
    </w:p>
    <w:p w14:paraId="625438D7" w14:textId="0DF27F9B" w:rsidR="000419D0" w:rsidRPr="00020FDE" w:rsidRDefault="000419D0" w:rsidP="000419D0">
      <w:pPr>
        <w:pStyle w:val="ListParagraph"/>
        <w:numPr>
          <w:ilvl w:val="0"/>
          <w:numId w:val="20"/>
        </w:numPr>
        <w:spacing w:after="160" w:line="259" w:lineRule="auto"/>
        <w:jc w:val="both"/>
        <w:rPr>
          <w:rFonts w:asciiTheme="minorHAnsi" w:hAnsiTheme="minorHAnsi" w:cstheme="minorHAnsi"/>
          <w:color w:val="000000" w:themeColor="text1"/>
        </w:rPr>
      </w:pPr>
      <w:r w:rsidRPr="00020FDE">
        <w:rPr>
          <w:rFonts w:asciiTheme="minorHAnsi" w:hAnsiTheme="minorHAnsi" w:cstheme="minorHAnsi"/>
          <w:color w:val="000000" w:themeColor="text1"/>
        </w:rPr>
        <w:t xml:space="preserve">Assess the </w:t>
      </w:r>
      <w:r w:rsidRPr="00020FDE">
        <w:rPr>
          <w:rFonts w:asciiTheme="minorHAnsi" w:hAnsiTheme="minorHAnsi" w:cstheme="minorHAnsi"/>
          <w:b/>
          <w:bCs/>
          <w:color w:val="000000" w:themeColor="text1"/>
        </w:rPr>
        <w:t>capability</w:t>
      </w:r>
      <w:r w:rsidRPr="00020FDE">
        <w:rPr>
          <w:rFonts w:asciiTheme="minorHAnsi" w:hAnsiTheme="minorHAnsi" w:cstheme="minorHAnsi"/>
          <w:color w:val="000000" w:themeColor="text1"/>
        </w:rPr>
        <w:t xml:space="preserve"> of the NPC and MoEPD &amp; PSR to </w:t>
      </w:r>
      <w:r w:rsidRPr="00020FDE">
        <w:rPr>
          <w:rFonts w:asciiTheme="minorHAnsi" w:hAnsiTheme="minorHAnsi" w:cstheme="minorHAnsi"/>
          <w:b/>
          <w:bCs/>
          <w:color w:val="000000" w:themeColor="text1"/>
        </w:rPr>
        <w:t>induce new paradigms of accountability, trust and renewal in the governance system</w:t>
      </w:r>
      <w:r w:rsidRPr="00020FDE">
        <w:rPr>
          <w:rFonts w:asciiTheme="minorHAnsi" w:hAnsiTheme="minorHAnsi" w:cstheme="minorHAnsi"/>
          <w:color w:val="000000" w:themeColor="text1"/>
        </w:rPr>
        <w:t xml:space="preserve"> informed by relevant</w:t>
      </w:r>
      <w:r w:rsidR="004F5AF0">
        <w:rPr>
          <w:rFonts w:asciiTheme="minorHAnsi" w:hAnsiTheme="minorHAnsi" w:cstheme="minorHAnsi"/>
          <w:color w:val="000000" w:themeColor="text1"/>
        </w:rPr>
        <w:t xml:space="preserve"> foresight</w:t>
      </w:r>
      <w:r w:rsidRPr="00020FDE">
        <w:rPr>
          <w:rFonts w:asciiTheme="minorHAnsi" w:hAnsiTheme="minorHAnsi" w:cstheme="minorHAnsi"/>
          <w:color w:val="000000" w:themeColor="text1"/>
        </w:rPr>
        <w:t xml:space="preserve"> information.</w:t>
      </w:r>
    </w:p>
    <w:p w14:paraId="54157422" w14:textId="77777777" w:rsidR="000419D0" w:rsidRPr="00020FDE" w:rsidRDefault="000419D0" w:rsidP="000419D0">
      <w:pPr>
        <w:pStyle w:val="ListParagraph"/>
        <w:numPr>
          <w:ilvl w:val="0"/>
          <w:numId w:val="20"/>
        </w:numPr>
        <w:spacing w:after="160" w:line="259" w:lineRule="auto"/>
        <w:jc w:val="both"/>
        <w:rPr>
          <w:rFonts w:asciiTheme="minorHAnsi" w:hAnsiTheme="minorHAnsi" w:cstheme="minorHAnsi"/>
          <w:color w:val="000000" w:themeColor="text1"/>
        </w:rPr>
      </w:pPr>
      <w:r w:rsidRPr="00020FDE">
        <w:rPr>
          <w:rFonts w:asciiTheme="minorHAnsi" w:hAnsiTheme="minorHAnsi" w:cstheme="minorHAnsi"/>
          <w:color w:val="000000" w:themeColor="text1"/>
        </w:rPr>
        <w:t xml:space="preserve">Assess the </w:t>
      </w:r>
      <w:r w:rsidRPr="00020FDE">
        <w:rPr>
          <w:rFonts w:asciiTheme="minorHAnsi" w:hAnsiTheme="minorHAnsi" w:cstheme="minorHAnsi"/>
          <w:b/>
          <w:bCs/>
          <w:color w:val="000000" w:themeColor="text1"/>
        </w:rPr>
        <w:t xml:space="preserve">capability </w:t>
      </w:r>
      <w:r w:rsidRPr="00020FDE">
        <w:rPr>
          <w:rFonts w:asciiTheme="minorHAnsi" w:hAnsiTheme="minorHAnsi" w:cstheme="minorHAnsi"/>
          <w:color w:val="000000" w:themeColor="text1"/>
        </w:rPr>
        <w:t xml:space="preserve">of NPC and MoEPD &amp; PSR to </w:t>
      </w:r>
      <w:r w:rsidRPr="00020FDE">
        <w:rPr>
          <w:rFonts w:asciiTheme="minorHAnsi" w:hAnsiTheme="minorHAnsi" w:cstheme="minorHAnsi"/>
          <w:b/>
          <w:bCs/>
        </w:rPr>
        <w:t>scan the horizon and understand the interdependencies of emerging signals emanating from various strategic sectors</w:t>
      </w:r>
      <w:r w:rsidRPr="00020FDE">
        <w:rPr>
          <w:rFonts w:asciiTheme="minorHAnsi" w:hAnsiTheme="minorHAnsi" w:cstheme="minorHAnsi"/>
        </w:rPr>
        <w:t xml:space="preserve"> (social, technological, economic, environmental, political)</w:t>
      </w:r>
    </w:p>
    <w:p w14:paraId="561528FF" w14:textId="77777777" w:rsidR="000419D0" w:rsidRPr="00020FDE" w:rsidRDefault="000419D0" w:rsidP="000419D0">
      <w:pPr>
        <w:pStyle w:val="ListParagraph"/>
        <w:numPr>
          <w:ilvl w:val="0"/>
          <w:numId w:val="20"/>
        </w:numPr>
        <w:spacing w:after="160" w:line="259" w:lineRule="auto"/>
        <w:jc w:val="both"/>
        <w:rPr>
          <w:rFonts w:asciiTheme="minorHAnsi" w:hAnsiTheme="minorHAnsi" w:cstheme="minorHAnsi"/>
          <w:b/>
          <w:bCs/>
        </w:rPr>
      </w:pPr>
      <w:r w:rsidRPr="00020FDE">
        <w:rPr>
          <w:rFonts w:asciiTheme="minorHAnsi" w:hAnsiTheme="minorHAnsi" w:cstheme="minorHAnsi"/>
        </w:rPr>
        <w:t xml:space="preserve">Assess the </w:t>
      </w:r>
      <w:r w:rsidRPr="00020FDE">
        <w:rPr>
          <w:rFonts w:asciiTheme="minorHAnsi" w:hAnsiTheme="minorHAnsi" w:cstheme="minorHAnsi"/>
          <w:b/>
          <w:bCs/>
        </w:rPr>
        <w:t>capability</w:t>
      </w:r>
      <w:r w:rsidRPr="00020FDE">
        <w:rPr>
          <w:rFonts w:asciiTheme="minorHAnsi" w:hAnsiTheme="minorHAnsi" w:cstheme="minorHAnsi"/>
        </w:rPr>
        <w:t xml:space="preserve"> of </w:t>
      </w:r>
      <w:r w:rsidRPr="00020FDE">
        <w:rPr>
          <w:rFonts w:asciiTheme="minorHAnsi" w:hAnsiTheme="minorHAnsi" w:cstheme="minorHAnsi"/>
          <w:color w:val="000000" w:themeColor="text1"/>
        </w:rPr>
        <w:t>NPC and MoEPD &amp; PSR</w:t>
      </w:r>
      <w:r w:rsidRPr="00020FDE">
        <w:rPr>
          <w:rFonts w:asciiTheme="minorHAnsi" w:hAnsiTheme="minorHAnsi" w:cstheme="minorHAnsi"/>
        </w:rPr>
        <w:t xml:space="preserve"> to </w:t>
      </w:r>
      <w:r w:rsidRPr="00020FDE">
        <w:rPr>
          <w:rFonts w:asciiTheme="minorHAnsi" w:hAnsiTheme="minorHAnsi" w:cstheme="minorHAnsi"/>
          <w:b/>
          <w:bCs/>
        </w:rPr>
        <w:t>forecast impact of interdependencies of emerging signals emanating from various strategic sectors</w:t>
      </w:r>
      <w:r w:rsidRPr="00020FDE">
        <w:rPr>
          <w:rFonts w:asciiTheme="minorHAnsi" w:hAnsiTheme="minorHAnsi" w:cstheme="minorHAnsi"/>
        </w:rPr>
        <w:t xml:space="preserve">. </w:t>
      </w:r>
    </w:p>
    <w:p w14:paraId="04D2A704" w14:textId="77777777" w:rsidR="000419D0" w:rsidRPr="00020FDE" w:rsidRDefault="000419D0" w:rsidP="000419D0">
      <w:pPr>
        <w:pStyle w:val="ListParagraph"/>
        <w:numPr>
          <w:ilvl w:val="0"/>
          <w:numId w:val="20"/>
        </w:numPr>
        <w:autoSpaceDE w:val="0"/>
        <w:autoSpaceDN w:val="0"/>
        <w:adjustRightInd w:val="0"/>
        <w:spacing w:after="0" w:line="259" w:lineRule="auto"/>
        <w:jc w:val="both"/>
        <w:rPr>
          <w:rFonts w:asciiTheme="minorHAnsi" w:hAnsiTheme="minorHAnsi" w:cstheme="minorHAnsi"/>
          <w:b/>
          <w:iCs/>
          <w:color w:val="222222"/>
          <w:shd w:val="clear" w:color="auto" w:fill="FFFFFF"/>
        </w:rPr>
      </w:pPr>
      <w:r w:rsidRPr="00020FDE">
        <w:rPr>
          <w:rFonts w:asciiTheme="minorHAnsi" w:hAnsiTheme="minorHAnsi" w:cstheme="minorHAnsi"/>
        </w:rPr>
        <w:t xml:space="preserve">Identify entry points for collaboration on foresight between NPC, MoEPD &amp; PSR, UNDP and development partners.  </w:t>
      </w:r>
    </w:p>
    <w:p w14:paraId="7AB66ADD" w14:textId="77777777" w:rsidR="006E7350" w:rsidRPr="00020FDE" w:rsidRDefault="006E7350" w:rsidP="004A412B">
      <w:pPr>
        <w:autoSpaceDE w:val="0"/>
        <w:autoSpaceDN w:val="0"/>
        <w:adjustRightInd w:val="0"/>
        <w:spacing w:after="0" w:line="240" w:lineRule="auto"/>
        <w:jc w:val="both"/>
        <w:rPr>
          <w:rFonts w:asciiTheme="minorHAnsi" w:eastAsia="Times New Roman" w:hAnsiTheme="minorHAnsi" w:cstheme="minorHAnsi"/>
          <w:b/>
        </w:rPr>
      </w:pPr>
    </w:p>
    <w:p w14:paraId="1B292616" w14:textId="77777777" w:rsidR="003B476A" w:rsidRPr="00020FDE" w:rsidRDefault="003B476A" w:rsidP="004A412B">
      <w:pPr>
        <w:spacing w:after="0" w:line="240" w:lineRule="auto"/>
        <w:jc w:val="both"/>
        <w:rPr>
          <w:rFonts w:asciiTheme="minorHAnsi" w:hAnsiTheme="minorHAnsi" w:cstheme="minorHAnsi"/>
          <w:b/>
          <w:bCs/>
          <w:lang w:val="en-GB" w:eastAsia="ja-JP"/>
        </w:rPr>
      </w:pPr>
    </w:p>
    <w:p w14:paraId="3CAB7CCB" w14:textId="54D8C5CD" w:rsidR="006E7350" w:rsidRPr="00020FDE" w:rsidRDefault="006E7350" w:rsidP="004A412B">
      <w:pPr>
        <w:spacing w:after="0" w:line="240" w:lineRule="auto"/>
        <w:jc w:val="both"/>
        <w:rPr>
          <w:rFonts w:asciiTheme="minorHAnsi" w:hAnsiTheme="minorHAnsi" w:cstheme="minorHAnsi"/>
          <w:b/>
          <w:bCs/>
          <w:lang w:val="en-GB" w:eastAsia="ja-JP"/>
        </w:rPr>
      </w:pPr>
      <w:r w:rsidRPr="00020FDE">
        <w:rPr>
          <w:rFonts w:asciiTheme="minorHAnsi" w:hAnsiTheme="minorHAnsi" w:cstheme="minorHAnsi"/>
          <w:b/>
          <w:bCs/>
          <w:lang w:val="en-GB" w:eastAsia="ja-JP"/>
        </w:rPr>
        <w:t>Scope of Work</w:t>
      </w:r>
    </w:p>
    <w:p w14:paraId="7A920453" w14:textId="51EA2EB8" w:rsidR="006E7350" w:rsidRPr="00020FDE" w:rsidRDefault="006E7350" w:rsidP="004A412B">
      <w:pPr>
        <w:spacing w:after="0" w:line="240" w:lineRule="auto"/>
        <w:jc w:val="both"/>
        <w:rPr>
          <w:rFonts w:asciiTheme="minorHAnsi" w:hAnsiTheme="minorHAnsi" w:cstheme="minorHAnsi"/>
          <w:color w:val="000000"/>
          <w:lang w:eastAsia="en-IN" w:bidi="hi-IN"/>
        </w:rPr>
      </w:pPr>
    </w:p>
    <w:p w14:paraId="1C6CE12B" w14:textId="77777777" w:rsidR="000419D0" w:rsidRPr="00020FDE" w:rsidRDefault="000419D0" w:rsidP="000419D0">
      <w:pPr>
        <w:autoSpaceDE w:val="0"/>
        <w:autoSpaceDN w:val="0"/>
        <w:adjustRightInd w:val="0"/>
        <w:spacing w:after="0"/>
        <w:rPr>
          <w:rFonts w:asciiTheme="minorHAnsi" w:hAnsiTheme="minorHAnsi" w:cstheme="minorHAnsi"/>
          <w:iCs/>
          <w:color w:val="222222"/>
          <w:shd w:val="clear" w:color="auto" w:fill="FFFFFF"/>
        </w:rPr>
      </w:pPr>
      <w:r w:rsidRPr="00020FDE">
        <w:rPr>
          <w:rFonts w:asciiTheme="minorHAnsi" w:hAnsiTheme="minorHAnsi" w:cstheme="minorHAnsi"/>
          <w:iCs/>
          <w:color w:val="222222"/>
          <w:shd w:val="clear" w:color="auto" w:fill="FFFFFF"/>
        </w:rPr>
        <w:t>Conduct a foresight capacity needs assessment of NPC, MoEPD &amp; PSR and UNDP and Foresight Capacity Building Strategy. Specific activities will include but not limited to:</w:t>
      </w:r>
    </w:p>
    <w:p w14:paraId="1806FF2C" w14:textId="77777777" w:rsidR="000419D0" w:rsidRPr="00020FDE" w:rsidRDefault="000419D0" w:rsidP="000419D0">
      <w:pPr>
        <w:autoSpaceDE w:val="0"/>
        <w:autoSpaceDN w:val="0"/>
        <w:adjustRightInd w:val="0"/>
        <w:spacing w:after="0"/>
        <w:rPr>
          <w:rFonts w:asciiTheme="minorHAnsi" w:hAnsiTheme="minorHAnsi" w:cstheme="minorHAnsi"/>
          <w:iCs/>
          <w:color w:val="222222"/>
          <w:shd w:val="clear" w:color="auto" w:fill="FFFFFF"/>
        </w:rPr>
      </w:pPr>
    </w:p>
    <w:p w14:paraId="5F77F893" w14:textId="77777777" w:rsidR="000419D0" w:rsidRPr="00020FDE" w:rsidRDefault="000419D0" w:rsidP="000419D0">
      <w:pPr>
        <w:pStyle w:val="ListParagraph"/>
        <w:numPr>
          <w:ilvl w:val="0"/>
          <w:numId w:val="23"/>
        </w:numPr>
        <w:autoSpaceDE w:val="0"/>
        <w:autoSpaceDN w:val="0"/>
        <w:adjustRightInd w:val="0"/>
        <w:spacing w:after="0" w:line="259" w:lineRule="auto"/>
        <w:jc w:val="both"/>
        <w:rPr>
          <w:rFonts w:asciiTheme="minorHAnsi" w:hAnsiTheme="minorHAnsi" w:cstheme="minorHAnsi"/>
          <w:iCs/>
          <w:color w:val="222222"/>
          <w:shd w:val="clear" w:color="auto" w:fill="FFFFFF"/>
        </w:rPr>
      </w:pPr>
      <w:r w:rsidRPr="00020FDE">
        <w:rPr>
          <w:rFonts w:asciiTheme="minorHAnsi" w:hAnsiTheme="minorHAnsi" w:cstheme="minorHAnsi"/>
          <w:iCs/>
          <w:color w:val="222222"/>
          <w:shd w:val="clear" w:color="auto" w:fill="FFFFFF"/>
        </w:rPr>
        <w:t xml:space="preserve">Stock-take existing capacity development initiatives undertaken by NPC, MoEPD &amp; PSR and UNDP from 2016 to 2020. </w:t>
      </w:r>
    </w:p>
    <w:p w14:paraId="18880515" w14:textId="77777777" w:rsidR="000419D0" w:rsidRPr="00020FDE" w:rsidRDefault="000419D0" w:rsidP="000419D0">
      <w:pPr>
        <w:pStyle w:val="ListParagraph"/>
        <w:numPr>
          <w:ilvl w:val="0"/>
          <w:numId w:val="23"/>
        </w:numPr>
        <w:autoSpaceDE w:val="0"/>
        <w:autoSpaceDN w:val="0"/>
        <w:adjustRightInd w:val="0"/>
        <w:spacing w:after="0" w:line="259" w:lineRule="auto"/>
        <w:jc w:val="both"/>
        <w:rPr>
          <w:rFonts w:asciiTheme="minorHAnsi" w:hAnsiTheme="minorHAnsi" w:cstheme="minorHAnsi"/>
          <w:iCs/>
          <w:color w:val="222222"/>
          <w:shd w:val="clear" w:color="auto" w:fill="FFFFFF"/>
        </w:rPr>
      </w:pPr>
      <w:r w:rsidRPr="00020FDE">
        <w:rPr>
          <w:rFonts w:asciiTheme="minorHAnsi" w:hAnsiTheme="minorHAnsi" w:cstheme="minorHAnsi"/>
          <w:iCs/>
          <w:color w:val="222222"/>
          <w:shd w:val="clear" w:color="auto" w:fill="FFFFFF"/>
        </w:rPr>
        <w:t>Review current planning and foresight tools employed by NPC and MoEPD &amp; PSR.</w:t>
      </w:r>
    </w:p>
    <w:p w14:paraId="3537BCC3" w14:textId="77777777" w:rsidR="000419D0" w:rsidRPr="00020FDE" w:rsidRDefault="000419D0" w:rsidP="000419D0">
      <w:pPr>
        <w:pStyle w:val="ListParagraph"/>
        <w:numPr>
          <w:ilvl w:val="0"/>
          <w:numId w:val="23"/>
        </w:numPr>
        <w:autoSpaceDE w:val="0"/>
        <w:autoSpaceDN w:val="0"/>
        <w:adjustRightInd w:val="0"/>
        <w:spacing w:after="0" w:line="259" w:lineRule="auto"/>
        <w:jc w:val="both"/>
        <w:rPr>
          <w:rFonts w:asciiTheme="minorHAnsi" w:hAnsiTheme="minorHAnsi" w:cstheme="minorHAnsi"/>
          <w:iCs/>
          <w:color w:val="222222"/>
          <w:shd w:val="clear" w:color="auto" w:fill="FFFFFF"/>
        </w:rPr>
      </w:pPr>
      <w:r w:rsidRPr="00020FDE">
        <w:rPr>
          <w:rFonts w:asciiTheme="minorHAnsi" w:hAnsiTheme="minorHAnsi" w:cstheme="minorHAnsi"/>
          <w:iCs/>
          <w:color w:val="222222"/>
          <w:shd w:val="clear" w:color="auto" w:fill="FFFFFF"/>
        </w:rPr>
        <w:t>Assess data needs required for foresight and horizon scanning.</w:t>
      </w:r>
    </w:p>
    <w:p w14:paraId="36515F47" w14:textId="77777777" w:rsidR="000419D0" w:rsidRPr="00020FDE" w:rsidRDefault="000419D0" w:rsidP="000419D0">
      <w:pPr>
        <w:pStyle w:val="ListParagraph"/>
        <w:numPr>
          <w:ilvl w:val="0"/>
          <w:numId w:val="23"/>
        </w:numPr>
        <w:autoSpaceDE w:val="0"/>
        <w:autoSpaceDN w:val="0"/>
        <w:adjustRightInd w:val="0"/>
        <w:spacing w:after="0" w:line="259" w:lineRule="auto"/>
        <w:jc w:val="both"/>
        <w:rPr>
          <w:rFonts w:asciiTheme="minorHAnsi" w:hAnsiTheme="minorHAnsi" w:cstheme="minorHAnsi"/>
          <w:iCs/>
          <w:color w:val="222222"/>
          <w:shd w:val="clear" w:color="auto" w:fill="FFFFFF"/>
        </w:rPr>
      </w:pPr>
      <w:r w:rsidRPr="00020FDE">
        <w:rPr>
          <w:rFonts w:asciiTheme="minorHAnsi" w:hAnsiTheme="minorHAnsi" w:cstheme="minorHAnsi"/>
          <w:iCs/>
          <w:color w:val="222222"/>
          <w:shd w:val="clear" w:color="auto" w:fill="FFFFFF"/>
        </w:rPr>
        <w:t>Assess the skills needs required for foresight and horizon scanning.</w:t>
      </w:r>
    </w:p>
    <w:p w14:paraId="6AC109D9" w14:textId="77777777" w:rsidR="000419D0" w:rsidRPr="00020FDE" w:rsidRDefault="000419D0" w:rsidP="000419D0">
      <w:pPr>
        <w:pStyle w:val="ListParagraph"/>
        <w:numPr>
          <w:ilvl w:val="0"/>
          <w:numId w:val="23"/>
        </w:numPr>
        <w:spacing w:after="160" w:line="259" w:lineRule="auto"/>
        <w:rPr>
          <w:rFonts w:asciiTheme="minorHAnsi" w:hAnsiTheme="minorHAnsi" w:cstheme="minorHAnsi"/>
          <w:iCs/>
          <w:color w:val="222222"/>
          <w:shd w:val="clear" w:color="auto" w:fill="FFFFFF"/>
        </w:rPr>
      </w:pPr>
      <w:r w:rsidRPr="00020FDE">
        <w:rPr>
          <w:rFonts w:asciiTheme="minorHAnsi" w:hAnsiTheme="minorHAnsi" w:cstheme="minorHAnsi"/>
          <w:iCs/>
          <w:color w:val="222222"/>
          <w:shd w:val="clear" w:color="auto" w:fill="FFFFFF"/>
        </w:rPr>
        <w:t>Identify challenges and opportunities specific to NPC, MoEPD &amp; PSR and UNDP on foresight and horizon scanning.</w:t>
      </w:r>
    </w:p>
    <w:p w14:paraId="0AA3A89F" w14:textId="77777777" w:rsidR="000419D0" w:rsidRPr="00020FDE" w:rsidRDefault="000419D0" w:rsidP="000419D0">
      <w:pPr>
        <w:pStyle w:val="ListParagraph"/>
        <w:numPr>
          <w:ilvl w:val="0"/>
          <w:numId w:val="23"/>
        </w:numPr>
        <w:autoSpaceDE w:val="0"/>
        <w:autoSpaceDN w:val="0"/>
        <w:adjustRightInd w:val="0"/>
        <w:spacing w:after="0" w:line="259" w:lineRule="auto"/>
        <w:jc w:val="both"/>
        <w:rPr>
          <w:rFonts w:asciiTheme="minorHAnsi" w:hAnsiTheme="minorHAnsi" w:cstheme="minorHAnsi"/>
          <w:iCs/>
          <w:color w:val="222222"/>
          <w:shd w:val="clear" w:color="auto" w:fill="FFFFFF"/>
        </w:rPr>
      </w:pPr>
      <w:r w:rsidRPr="00020FDE">
        <w:rPr>
          <w:rFonts w:asciiTheme="minorHAnsi" w:hAnsiTheme="minorHAnsi" w:cstheme="minorHAnsi"/>
          <w:iCs/>
          <w:color w:val="222222"/>
          <w:shd w:val="clear" w:color="auto" w:fill="FFFFFF"/>
        </w:rPr>
        <w:t>Develop a foresight Capacity Development Strategy for the three institutions.</w:t>
      </w:r>
    </w:p>
    <w:p w14:paraId="4388869F" w14:textId="77777777" w:rsidR="000419D0" w:rsidRPr="00020FDE" w:rsidRDefault="000419D0" w:rsidP="000419D0">
      <w:pPr>
        <w:pStyle w:val="ListParagraph"/>
        <w:numPr>
          <w:ilvl w:val="0"/>
          <w:numId w:val="23"/>
        </w:numPr>
        <w:autoSpaceDE w:val="0"/>
        <w:autoSpaceDN w:val="0"/>
        <w:adjustRightInd w:val="0"/>
        <w:spacing w:after="0" w:line="259" w:lineRule="auto"/>
        <w:rPr>
          <w:rFonts w:asciiTheme="minorHAnsi" w:hAnsiTheme="minorHAnsi" w:cstheme="minorHAnsi"/>
          <w:color w:val="000000"/>
        </w:rPr>
      </w:pPr>
      <w:r w:rsidRPr="00020FDE">
        <w:rPr>
          <w:rFonts w:asciiTheme="minorHAnsi" w:hAnsiTheme="minorHAnsi" w:cstheme="minorHAnsi"/>
          <w:color w:val="000000"/>
        </w:rPr>
        <w:t>Identify existing methodologies, capacities and map out resources for foresight capacity building and knowledge linking available locally, regionally, or globally.</w:t>
      </w:r>
    </w:p>
    <w:p w14:paraId="67A157B4" w14:textId="77777777" w:rsidR="000419D0" w:rsidRPr="00020FDE" w:rsidRDefault="000419D0" w:rsidP="000419D0">
      <w:pPr>
        <w:autoSpaceDE w:val="0"/>
        <w:autoSpaceDN w:val="0"/>
        <w:adjustRightInd w:val="0"/>
        <w:spacing w:after="0"/>
        <w:rPr>
          <w:rFonts w:asciiTheme="minorHAnsi" w:hAnsiTheme="minorHAnsi" w:cstheme="minorHAnsi"/>
          <w:iCs/>
          <w:color w:val="222222"/>
          <w:shd w:val="clear" w:color="auto" w:fill="FFFFFF"/>
        </w:rPr>
      </w:pPr>
    </w:p>
    <w:p w14:paraId="33AE7B58" w14:textId="15D473D7" w:rsidR="000419D0" w:rsidRPr="00020FDE" w:rsidRDefault="000419D0" w:rsidP="000419D0">
      <w:pPr>
        <w:spacing w:after="0" w:line="240" w:lineRule="auto"/>
        <w:jc w:val="both"/>
        <w:rPr>
          <w:rFonts w:asciiTheme="minorHAnsi" w:hAnsiTheme="minorHAnsi" w:cstheme="minorHAnsi"/>
          <w:b/>
          <w:bCs/>
          <w:lang w:val="en-GB" w:eastAsia="ja-JP"/>
        </w:rPr>
      </w:pPr>
      <w:r w:rsidRPr="00020FDE">
        <w:rPr>
          <w:rFonts w:asciiTheme="minorHAnsi" w:hAnsiTheme="minorHAnsi" w:cstheme="minorHAnsi"/>
          <w:b/>
          <w:bCs/>
          <w:lang w:val="en-GB" w:eastAsia="ja-JP"/>
        </w:rPr>
        <w:t>Deliverables</w:t>
      </w:r>
    </w:p>
    <w:p w14:paraId="126CB761" w14:textId="77777777" w:rsidR="000419D0" w:rsidRPr="00020FDE" w:rsidRDefault="000419D0" w:rsidP="000419D0">
      <w:pPr>
        <w:spacing w:after="0" w:line="240" w:lineRule="auto"/>
        <w:jc w:val="both"/>
        <w:rPr>
          <w:rFonts w:asciiTheme="minorHAnsi" w:hAnsiTheme="minorHAnsi" w:cstheme="minorHAnsi"/>
          <w:b/>
          <w:bCs/>
          <w:lang w:val="en-GB" w:eastAsia="ja-JP"/>
        </w:rPr>
      </w:pPr>
    </w:p>
    <w:p w14:paraId="47BEA879" w14:textId="77777777" w:rsidR="000419D0" w:rsidRPr="00020FDE" w:rsidRDefault="000419D0" w:rsidP="000419D0">
      <w:pPr>
        <w:pStyle w:val="ListParagraph"/>
        <w:numPr>
          <w:ilvl w:val="0"/>
          <w:numId w:val="22"/>
        </w:numPr>
        <w:spacing w:after="160" w:line="259" w:lineRule="auto"/>
        <w:jc w:val="both"/>
        <w:rPr>
          <w:rFonts w:asciiTheme="minorHAnsi" w:hAnsiTheme="minorHAnsi" w:cstheme="minorHAnsi"/>
        </w:rPr>
      </w:pPr>
      <w:r w:rsidRPr="00020FDE">
        <w:rPr>
          <w:rFonts w:asciiTheme="minorHAnsi" w:hAnsiTheme="minorHAnsi" w:cstheme="minorHAnsi"/>
        </w:rPr>
        <w:t>A concise expression of interest detailing a firm’s/individual’s expertise and experience to undertake the task.</w:t>
      </w:r>
    </w:p>
    <w:p w14:paraId="78520B10" w14:textId="77777777" w:rsidR="000419D0" w:rsidRPr="00020FDE" w:rsidRDefault="000419D0" w:rsidP="000419D0">
      <w:pPr>
        <w:pStyle w:val="ListParagraph"/>
        <w:numPr>
          <w:ilvl w:val="0"/>
          <w:numId w:val="22"/>
        </w:numPr>
        <w:spacing w:after="160" w:line="259" w:lineRule="auto"/>
        <w:jc w:val="both"/>
        <w:rPr>
          <w:rFonts w:asciiTheme="minorHAnsi" w:hAnsiTheme="minorHAnsi" w:cstheme="minorHAnsi"/>
        </w:rPr>
      </w:pPr>
      <w:r w:rsidRPr="00020FDE">
        <w:rPr>
          <w:rFonts w:asciiTheme="minorHAnsi" w:hAnsiTheme="minorHAnsi" w:cstheme="minorHAnsi"/>
        </w:rPr>
        <w:t xml:space="preserve">An inception report for the consultancy detailing the approach, methodology and budget for the consultancy. </w:t>
      </w:r>
    </w:p>
    <w:p w14:paraId="7E7F4E3C" w14:textId="77777777" w:rsidR="000419D0" w:rsidRPr="00020FDE" w:rsidRDefault="000419D0" w:rsidP="000419D0">
      <w:pPr>
        <w:pStyle w:val="ListParagraph"/>
        <w:numPr>
          <w:ilvl w:val="0"/>
          <w:numId w:val="22"/>
        </w:numPr>
        <w:spacing w:after="160" w:line="259" w:lineRule="auto"/>
        <w:jc w:val="both"/>
        <w:rPr>
          <w:rFonts w:asciiTheme="minorHAnsi" w:hAnsiTheme="minorHAnsi" w:cstheme="minorHAnsi"/>
        </w:rPr>
      </w:pPr>
      <w:r w:rsidRPr="00020FDE">
        <w:rPr>
          <w:rFonts w:asciiTheme="minorHAnsi" w:hAnsiTheme="minorHAnsi" w:cstheme="minorHAnsi"/>
        </w:rPr>
        <w:t>A draft capacity assessment and gap analysis report.</w:t>
      </w:r>
    </w:p>
    <w:p w14:paraId="74E94383" w14:textId="77777777" w:rsidR="000419D0" w:rsidRPr="00020FDE" w:rsidRDefault="000419D0" w:rsidP="000419D0">
      <w:pPr>
        <w:pStyle w:val="ListParagraph"/>
        <w:numPr>
          <w:ilvl w:val="0"/>
          <w:numId w:val="22"/>
        </w:numPr>
        <w:spacing w:after="160" w:line="259" w:lineRule="auto"/>
        <w:jc w:val="both"/>
        <w:rPr>
          <w:rFonts w:asciiTheme="minorHAnsi" w:hAnsiTheme="minorHAnsi" w:cstheme="minorHAnsi"/>
        </w:rPr>
      </w:pPr>
      <w:r w:rsidRPr="00020FDE">
        <w:rPr>
          <w:rFonts w:asciiTheme="minorHAnsi" w:hAnsiTheme="minorHAnsi" w:cstheme="minorHAnsi"/>
        </w:rPr>
        <w:t>A capacity assessment report and capacity building strategy on foresight and horizontal scanning.</w:t>
      </w:r>
    </w:p>
    <w:p w14:paraId="6E65B002" w14:textId="5A02E13A" w:rsidR="00AE7E94" w:rsidRPr="00020FDE" w:rsidRDefault="000419D0" w:rsidP="00AE7E94">
      <w:pPr>
        <w:pStyle w:val="ListParagraph"/>
        <w:numPr>
          <w:ilvl w:val="0"/>
          <w:numId w:val="22"/>
        </w:numPr>
        <w:spacing w:after="160" w:line="259" w:lineRule="auto"/>
        <w:jc w:val="both"/>
        <w:rPr>
          <w:rFonts w:asciiTheme="minorHAnsi" w:hAnsiTheme="minorHAnsi" w:cstheme="minorHAnsi"/>
        </w:rPr>
      </w:pPr>
      <w:r w:rsidRPr="00020FDE">
        <w:rPr>
          <w:rFonts w:asciiTheme="minorHAnsi" w:hAnsiTheme="minorHAnsi" w:cstheme="minorHAnsi"/>
        </w:rPr>
        <w:t xml:space="preserve">Detailed recommendations on the findings and how they could be executed. </w:t>
      </w:r>
    </w:p>
    <w:p w14:paraId="4E1E2866" w14:textId="4A53DA12" w:rsidR="00AE7E94" w:rsidRPr="00020FDE" w:rsidRDefault="00847E52" w:rsidP="00847E52">
      <w:pPr>
        <w:spacing w:after="120" w:line="240" w:lineRule="auto"/>
        <w:jc w:val="both"/>
        <w:rPr>
          <w:rFonts w:asciiTheme="minorHAnsi" w:eastAsia="Malgun Gothic Semilight" w:hAnsiTheme="minorHAnsi" w:cstheme="minorHAnsi"/>
          <w:b/>
        </w:rPr>
      </w:pPr>
      <w:r w:rsidRPr="00020FDE">
        <w:rPr>
          <w:rFonts w:asciiTheme="minorHAnsi" w:eastAsia="Malgun Gothic Semilight" w:hAnsiTheme="minorHAnsi" w:cstheme="minorHAnsi"/>
          <w:b/>
        </w:rPr>
        <w:t>Payment Schedule</w:t>
      </w:r>
    </w:p>
    <w:p w14:paraId="0DE1C92C" w14:textId="6568872A" w:rsidR="003E7742" w:rsidRPr="00020FDE" w:rsidRDefault="003E7742" w:rsidP="00847E52">
      <w:pPr>
        <w:spacing w:after="120" w:line="240" w:lineRule="auto"/>
        <w:jc w:val="both"/>
        <w:rPr>
          <w:rFonts w:asciiTheme="minorHAnsi" w:eastAsia="Malgun Gothic Semilight" w:hAnsiTheme="minorHAnsi" w:cstheme="minorHAnsi"/>
          <w:b/>
        </w:rPr>
      </w:pPr>
    </w:p>
    <w:tbl>
      <w:tblPr>
        <w:tblStyle w:val="TableGrid"/>
        <w:tblW w:w="0" w:type="auto"/>
        <w:tblLook w:val="04A0" w:firstRow="1" w:lastRow="0" w:firstColumn="1" w:lastColumn="0" w:noHBand="0" w:noVBand="1"/>
      </w:tblPr>
      <w:tblGrid>
        <w:gridCol w:w="3020"/>
        <w:gridCol w:w="3021"/>
        <w:gridCol w:w="3021"/>
      </w:tblGrid>
      <w:tr w:rsidR="00F7348B" w:rsidRPr="00020FDE" w14:paraId="0CBA681A" w14:textId="77777777" w:rsidTr="00C462F4">
        <w:tc>
          <w:tcPr>
            <w:tcW w:w="3020" w:type="dxa"/>
          </w:tcPr>
          <w:p w14:paraId="0D613C2B" w14:textId="77777777" w:rsidR="00F7348B" w:rsidRPr="00020FDE" w:rsidRDefault="00F7348B" w:rsidP="00C462F4">
            <w:pPr>
              <w:spacing w:after="120"/>
              <w:jc w:val="both"/>
              <w:rPr>
                <w:rFonts w:asciiTheme="minorHAnsi" w:eastAsia="Malgun Gothic Semilight" w:hAnsiTheme="minorHAnsi" w:cstheme="minorHAnsi"/>
                <w:b/>
                <w:sz w:val="22"/>
                <w:szCs w:val="22"/>
              </w:rPr>
            </w:pPr>
            <w:r w:rsidRPr="00020FDE">
              <w:rPr>
                <w:rFonts w:asciiTheme="minorHAnsi" w:eastAsia="Malgun Gothic Semilight" w:hAnsiTheme="minorHAnsi" w:cstheme="minorHAnsi"/>
                <w:b/>
                <w:sz w:val="22"/>
                <w:szCs w:val="22"/>
              </w:rPr>
              <w:t>Deliverables</w:t>
            </w:r>
          </w:p>
        </w:tc>
        <w:tc>
          <w:tcPr>
            <w:tcW w:w="3021" w:type="dxa"/>
          </w:tcPr>
          <w:p w14:paraId="664DF2BE" w14:textId="77777777" w:rsidR="00F7348B" w:rsidRPr="00020FDE" w:rsidRDefault="00F7348B" w:rsidP="00C462F4">
            <w:pPr>
              <w:spacing w:after="120"/>
              <w:jc w:val="both"/>
              <w:rPr>
                <w:rFonts w:asciiTheme="minorHAnsi" w:eastAsia="Malgun Gothic Semilight" w:hAnsiTheme="minorHAnsi" w:cstheme="minorHAnsi"/>
                <w:b/>
                <w:sz w:val="22"/>
                <w:szCs w:val="22"/>
              </w:rPr>
            </w:pPr>
            <w:r w:rsidRPr="00020FDE">
              <w:rPr>
                <w:rFonts w:asciiTheme="minorHAnsi" w:eastAsia="Malgun Gothic Semilight" w:hAnsiTheme="minorHAnsi" w:cstheme="minorHAnsi"/>
                <w:b/>
                <w:sz w:val="22"/>
                <w:szCs w:val="22"/>
              </w:rPr>
              <w:t>Tentative payment date</w:t>
            </w:r>
          </w:p>
        </w:tc>
        <w:tc>
          <w:tcPr>
            <w:tcW w:w="3021" w:type="dxa"/>
          </w:tcPr>
          <w:p w14:paraId="57665AE8" w14:textId="77777777" w:rsidR="00F7348B" w:rsidRPr="00020FDE" w:rsidRDefault="00F7348B" w:rsidP="00C462F4">
            <w:pPr>
              <w:spacing w:after="120"/>
              <w:jc w:val="both"/>
              <w:rPr>
                <w:rFonts w:asciiTheme="minorHAnsi" w:eastAsia="Malgun Gothic Semilight" w:hAnsiTheme="minorHAnsi" w:cstheme="minorHAnsi"/>
                <w:b/>
                <w:sz w:val="22"/>
                <w:szCs w:val="22"/>
              </w:rPr>
            </w:pPr>
            <w:r w:rsidRPr="00020FDE">
              <w:rPr>
                <w:rFonts w:asciiTheme="minorHAnsi" w:eastAsia="Malgun Gothic Semilight" w:hAnsiTheme="minorHAnsi" w:cstheme="minorHAnsi"/>
                <w:b/>
                <w:sz w:val="22"/>
                <w:szCs w:val="22"/>
              </w:rPr>
              <w:t>Percentage of payment</w:t>
            </w:r>
          </w:p>
        </w:tc>
      </w:tr>
      <w:tr w:rsidR="00F7348B" w:rsidRPr="00020FDE" w14:paraId="3F196716" w14:textId="77777777" w:rsidTr="00C462F4">
        <w:tc>
          <w:tcPr>
            <w:tcW w:w="3020" w:type="dxa"/>
          </w:tcPr>
          <w:p w14:paraId="66385D8C" w14:textId="77777777" w:rsidR="00F7348B" w:rsidRPr="00020FDE" w:rsidRDefault="00F7348B" w:rsidP="00C462F4">
            <w:pPr>
              <w:spacing w:after="120"/>
              <w:jc w:val="both"/>
              <w:rPr>
                <w:rFonts w:asciiTheme="minorHAnsi" w:eastAsia="Malgun Gothic Semilight" w:hAnsiTheme="minorHAnsi" w:cstheme="minorHAnsi"/>
                <w:bCs/>
                <w:sz w:val="22"/>
                <w:szCs w:val="22"/>
              </w:rPr>
            </w:pPr>
            <w:r w:rsidRPr="00020FDE">
              <w:rPr>
                <w:rFonts w:asciiTheme="minorHAnsi" w:eastAsia="Malgun Gothic Semilight" w:hAnsiTheme="minorHAnsi" w:cstheme="minorHAnsi"/>
                <w:bCs/>
                <w:sz w:val="22"/>
                <w:szCs w:val="22"/>
              </w:rPr>
              <w:t>Payment upon submission of acceptable inception report</w:t>
            </w:r>
          </w:p>
        </w:tc>
        <w:tc>
          <w:tcPr>
            <w:tcW w:w="3021" w:type="dxa"/>
          </w:tcPr>
          <w:p w14:paraId="1B69B53A" w14:textId="4FCD3257" w:rsidR="00F7348B" w:rsidRPr="00020FDE" w:rsidRDefault="005F1CF4" w:rsidP="00FD5524">
            <w:pPr>
              <w:spacing w:after="120"/>
              <w:jc w:val="center"/>
              <w:rPr>
                <w:rFonts w:asciiTheme="minorHAnsi" w:eastAsia="Malgun Gothic Semilight" w:hAnsiTheme="minorHAnsi" w:cstheme="minorHAnsi"/>
                <w:bCs/>
                <w:sz w:val="22"/>
                <w:szCs w:val="22"/>
              </w:rPr>
            </w:pPr>
            <w:r>
              <w:rPr>
                <w:rFonts w:asciiTheme="minorHAnsi" w:eastAsia="Malgun Gothic Semilight" w:hAnsiTheme="minorHAnsi" w:cstheme="minorHAnsi"/>
                <w:bCs/>
                <w:sz w:val="22"/>
                <w:szCs w:val="22"/>
              </w:rPr>
              <w:t>19</w:t>
            </w:r>
            <w:r w:rsidR="00C30EC4" w:rsidRPr="00C30EC4">
              <w:rPr>
                <w:rFonts w:asciiTheme="minorHAnsi" w:eastAsia="Malgun Gothic Semilight" w:hAnsiTheme="minorHAnsi" w:cstheme="minorHAnsi"/>
                <w:bCs/>
                <w:sz w:val="22"/>
                <w:szCs w:val="22"/>
                <w:vertAlign w:val="superscript"/>
              </w:rPr>
              <w:t>th</w:t>
            </w:r>
            <w:r w:rsidR="00C30EC4">
              <w:rPr>
                <w:rFonts w:asciiTheme="minorHAnsi" w:eastAsia="Malgun Gothic Semilight" w:hAnsiTheme="minorHAnsi" w:cstheme="minorHAnsi"/>
                <w:bCs/>
                <w:sz w:val="22"/>
                <w:szCs w:val="22"/>
              </w:rPr>
              <w:t xml:space="preserve"> April 2021 </w:t>
            </w:r>
          </w:p>
        </w:tc>
        <w:tc>
          <w:tcPr>
            <w:tcW w:w="3021" w:type="dxa"/>
          </w:tcPr>
          <w:p w14:paraId="415A4517" w14:textId="0134C1B5" w:rsidR="00F7348B" w:rsidRPr="00020FDE" w:rsidRDefault="00F7348B" w:rsidP="00FD5524">
            <w:pPr>
              <w:spacing w:after="120"/>
              <w:jc w:val="center"/>
              <w:rPr>
                <w:rFonts w:asciiTheme="minorHAnsi" w:eastAsia="Malgun Gothic Semilight" w:hAnsiTheme="minorHAnsi" w:cstheme="minorHAnsi"/>
                <w:bCs/>
                <w:sz w:val="22"/>
                <w:szCs w:val="22"/>
              </w:rPr>
            </w:pPr>
            <w:r w:rsidRPr="00020FDE">
              <w:rPr>
                <w:rFonts w:asciiTheme="minorHAnsi" w:eastAsia="Malgun Gothic Semilight" w:hAnsiTheme="minorHAnsi" w:cstheme="minorHAnsi"/>
                <w:bCs/>
                <w:sz w:val="22"/>
                <w:szCs w:val="22"/>
              </w:rPr>
              <w:t>2</w:t>
            </w:r>
            <w:r w:rsidR="00FD5524" w:rsidRPr="00020FDE">
              <w:rPr>
                <w:rFonts w:asciiTheme="minorHAnsi" w:eastAsia="Malgun Gothic Semilight" w:hAnsiTheme="minorHAnsi" w:cstheme="minorHAnsi"/>
                <w:bCs/>
                <w:sz w:val="22"/>
                <w:szCs w:val="22"/>
              </w:rPr>
              <w:t>5</w:t>
            </w:r>
            <w:r w:rsidRPr="00020FDE">
              <w:rPr>
                <w:rFonts w:asciiTheme="minorHAnsi" w:eastAsia="Malgun Gothic Semilight" w:hAnsiTheme="minorHAnsi" w:cstheme="minorHAnsi"/>
                <w:bCs/>
                <w:sz w:val="22"/>
                <w:szCs w:val="22"/>
              </w:rPr>
              <w:t>%</w:t>
            </w:r>
          </w:p>
        </w:tc>
      </w:tr>
      <w:tr w:rsidR="000419D0" w:rsidRPr="00020FDE" w14:paraId="32B78F3A" w14:textId="77777777" w:rsidTr="00C462F4">
        <w:tc>
          <w:tcPr>
            <w:tcW w:w="3020" w:type="dxa"/>
          </w:tcPr>
          <w:p w14:paraId="4C9487C4" w14:textId="58709E08" w:rsidR="000419D0" w:rsidRPr="00020FDE" w:rsidRDefault="000419D0" w:rsidP="000419D0">
            <w:pPr>
              <w:spacing w:after="120"/>
              <w:jc w:val="both"/>
              <w:rPr>
                <w:rFonts w:asciiTheme="minorHAnsi" w:eastAsia="Malgun Gothic Semilight" w:hAnsiTheme="minorHAnsi" w:cstheme="minorHAnsi"/>
                <w:bCs/>
                <w:sz w:val="22"/>
                <w:szCs w:val="22"/>
              </w:rPr>
            </w:pPr>
            <w:r w:rsidRPr="00020FDE">
              <w:rPr>
                <w:rFonts w:asciiTheme="minorHAnsi" w:eastAsia="Malgun Gothic Semilight" w:hAnsiTheme="minorHAnsi" w:cstheme="minorHAnsi"/>
                <w:bCs/>
                <w:sz w:val="22"/>
                <w:szCs w:val="22"/>
              </w:rPr>
              <w:t>Payment upon submission of draft capacity assessment and gap analysis report.</w:t>
            </w:r>
          </w:p>
        </w:tc>
        <w:tc>
          <w:tcPr>
            <w:tcW w:w="3021" w:type="dxa"/>
          </w:tcPr>
          <w:p w14:paraId="79293CB2" w14:textId="6CD1EAC2" w:rsidR="000419D0" w:rsidRPr="00020FDE" w:rsidRDefault="00C30EC4" w:rsidP="00FD5524">
            <w:pPr>
              <w:spacing w:after="120"/>
              <w:jc w:val="center"/>
              <w:rPr>
                <w:rFonts w:asciiTheme="minorHAnsi" w:eastAsia="Malgun Gothic Semilight" w:hAnsiTheme="minorHAnsi" w:cstheme="minorHAnsi"/>
                <w:bCs/>
                <w:sz w:val="22"/>
                <w:szCs w:val="22"/>
              </w:rPr>
            </w:pPr>
            <w:r>
              <w:rPr>
                <w:rFonts w:asciiTheme="minorHAnsi" w:eastAsia="Malgun Gothic Semilight" w:hAnsiTheme="minorHAnsi" w:cstheme="minorHAnsi"/>
                <w:bCs/>
                <w:sz w:val="22"/>
                <w:szCs w:val="22"/>
              </w:rPr>
              <w:t>20</w:t>
            </w:r>
            <w:r w:rsidRPr="00C30EC4">
              <w:rPr>
                <w:rFonts w:asciiTheme="minorHAnsi" w:eastAsia="Malgun Gothic Semilight" w:hAnsiTheme="minorHAnsi" w:cstheme="minorHAnsi"/>
                <w:bCs/>
                <w:sz w:val="22"/>
                <w:szCs w:val="22"/>
                <w:vertAlign w:val="superscript"/>
              </w:rPr>
              <w:t>th</w:t>
            </w:r>
            <w:r>
              <w:rPr>
                <w:rFonts w:asciiTheme="minorHAnsi" w:eastAsia="Malgun Gothic Semilight" w:hAnsiTheme="minorHAnsi" w:cstheme="minorHAnsi"/>
                <w:bCs/>
                <w:sz w:val="22"/>
                <w:szCs w:val="22"/>
              </w:rPr>
              <w:t xml:space="preserve"> May 2021</w:t>
            </w:r>
          </w:p>
        </w:tc>
        <w:tc>
          <w:tcPr>
            <w:tcW w:w="3021" w:type="dxa"/>
          </w:tcPr>
          <w:p w14:paraId="3E0A7858" w14:textId="3CC26E26" w:rsidR="000419D0" w:rsidRPr="00020FDE" w:rsidRDefault="000419D0" w:rsidP="00FD5524">
            <w:pPr>
              <w:spacing w:after="120"/>
              <w:jc w:val="center"/>
              <w:rPr>
                <w:rFonts w:asciiTheme="minorHAnsi" w:eastAsia="Malgun Gothic Semilight" w:hAnsiTheme="minorHAnsi" w:cstheme="minorHAnsi"/>
                <w:bCs/>
                <w:sz w:val="22"/>
                <w:szCs w:val="22"/>
              </w:rPr>
            </w:pPr>
            <w:r w:rsidRPr="00020FDE">
              <w:rPr>
                <w:rFonts w:asciiTheme="minorHAnsi" w:eastAsia="Malgun Gothic Semilight" w:hAnsiTheme="minorHAnsi" w:cstheme="minorHAnsi"/>
                <w:bCs/>
                <w:sz w:val="22"/>
                <w:szCs w:val="22"/>
              </w:rPr>
              <w:t>2</w:t>
            </w:r>
            <w:r w:rsidR="00FD5524" w:rsidRPr="00020FDE">
              <w:rPr>
                <w:rFonts w:asciiTheme="minorHAnsi" w:eastAsia="Malgun Gothic Semilight" w:hAnsiTheme="minorHAnsi" w:cstheme="minorHAnsi"/>
                <w:bCs/>
                <w:sz w:val="22"/>
                <w:szCs w:val="22"/>
              </w:rPr>
              <w:t>5</w:t>
            </w:r>
            <w:r w:rsidRPr="00020FDE">
              <w:rPr>
                <w:rFonts w:asciiTheme="minorHAnsi" w:eastAsia="Malgun Gothic Semilight" w:hAnsiTheme="minorHAnsi" w:cstheme="minorHAnsi"/>
                <w:bCs/>
                <w:sz w:val="22"/>
                <w:szCs w:val="22"/>
              </w:rPr>
              <w:t>%</w:t>
            </w:r>
          </w:p>
        </w:tc>
      </w:tr>
      <w:tr w:rsidR="000419D0" w:rsidRPr="00020FDE" w14:paraId="07E90E30" w14:textId="77777777" w:rsidTr="00C462F4">
        <w:tc>
          <w:tcPr>
            <w:tcW w:w="3020" w:type="dxa"/>
          </w:tcPr>
          <w:p w14:paraId="1D955163" w14:textId="7834B3ED" w:rsidR="009E3EC2" w:rsidRPr="00020FDE" w:rsidRDefault="000419D0" w:rsidP="009E3EC2">
            <w:pPr>
              <w:spacing w:after="160" w:line="259" w:lineRule="auto"/>
              <w:jc w:val="both"/>
              <w:rPr>
                <w:rFonts w:asciiTheme="minorHAnsi" w:eastAsia="Malgun Gothic Semilight" w:hAnsiTheme="minorHAnsi" w:cstheme="minorHAnsi"/>
                <w:bCs/>
                <w:sz w:val="22"/>
                <w:szCs w:val="22"/>
              </w:rPr>
            </w:pPr>
            <w:r w:rsidRPr="00020FDE">
              <w:rPr>
                <w:rFonts w:asciiTheme="minorHAnsi" w:eastAsia="Malgun Gothic Semilight" w:hAnsiTheme="minorHAnsi" w:cstheme="minorHAnsi"/>
                <w:bCs/>
                <w:sz w:val="22"/>
                <w:szCs w:val="22"/>
              </w:rPr>
              <w:lastRenderedPageBreak/>
              <w:t>Payment upon submission of A capacity assessment report and capacity building strategy on foresight and horizontal scanning</w:t>
            </w:r>
            <w:r w:rsidR="009E3EC2">
              <w:rPr>
                <w:rFonts w:asciiTheme="minorHAnsi" w:eastAsia="Malgun Gothic Semilight" w:hAnsiTheme="minorHAnsi" w:cstheme="minorHAnsi"/>
                <w:bCs/>
                <w:sz w:val="22"/>
                <w:szCs w:val="22"/>
              </w:rPr>
              <w:t xml:space="preserve">; As well as </w:t>
            </w:r>
            <w:r w:rsidR="009E3EC2" w:rsidRPr="00020FDE">
              <w:rPr>
                <w:rFonts w:asciiTheme="minorHAnsi" w:eastAsia="Malgun Gothic Semilight" w:hAnsiTheme="minorHAnsi" w:cstheme="minorHAnsi"/>
                <w:bCs/>
                <w:sz w:val="22"/>
                <w:szCs w:val="22"/>
              </w:rPr>
              <w:t xml:space="preserve">submission and acceptances of detailed recommendations on the findings and how they could be executed. </w:t>
            </w:r>
          </w:p>
          <w:p w14:paraId="743869FF" w14:textId="045FFB04" w:rsidR="000419D0" w:rsidRPr="00020FDE" w:rsidRDefault="000419D0" w:rsidP="000419D0">
            <w:pPr>
              <w:spacing w:after="160" w:line="259" w:lineRule="auto"/>
              <w:jc w:val="both"/>
              <w:rPr>
                <w:rFonts w:asciiTheme="minorHAnsi" w:eastAsia="Malgun Gothic Semilight" w:hAnsiTheme="minorHAnsi" w:cstheme="minorHAnsi"/>
                <w:bCs/>
                <w:sz w:val="22"/>
                <w:szCs w:val="22"/>
              </w:rPr>
            </w:pPr>
          </w:p>
          <w:p w14:paraId="46FE73F2" w14:textId="3347455D" w:rsidR="000419D0" w:rsidRPr="00020FDE" w:rsidRDefault="000419D0" w:rsidP="000419D0">
            <w:pPr>
              <w:spacing w:after="120"/>
              <w:jc w:val="both"/>
              <w:rPr>
                <w:rFonts w:asciiTheme="minorHAnsi" w:eastAsia="Malgun Gothic Semilight" w:hAnsiTheme="minorHAnsi" w:cstheme="minorHAnsi"/>
                <w:bCs/>
                <w:sz w:val="22"/>
                <w:szCs w:val="22"/>
              </w:rPr>
            </w:pPr>
          </w:p>
        </w:tc>
        <w:tc>
          <w:tcPr>
            <w:tcW w:w="3021" w:type="dxa"/>
          </w:tcPr>
          <w:p w14:paraId="2AB2D685" w14:textId="5826D7E8" w:rsidR="000419D0" w:rsidRPr="00020FDE" w:rsidRDefault="009C3F83" w:rsidP="00FD5524">
            <w:pPr>
              <w:spacing w:after="120"/>
              <w:jc w:val="center"/>
              <w:rPr>
                <w:rFonts w:asciiTheme="minorHAnsi" w:eastAsia="Malgun Gothic Semilight" w:hAnsiTheme="minorHAnsi" w:cstheme="minorHAnsi"/>
                <w:bCs/>
                <w:sz w:val="22"/>
                <w:szCs w:val="22"/>
              </w:rPr>
            </w:pPr>
            <w:r>
              <w:rPr>
                <w:rFonts w:asciiTheme="minorHAnsi" w:eastAsia="Malgun Gothic Semilight" w:hAnsiTheme="minorHAnsi" w:cstheme="minorHAnsi"/>
                <w:bCs/>
                <w:sz w:val="22"/>
                <w:szCs w:val="22"/>
              </w:rPr>
              <w:t>1</w:t>
            </w:r>
            <w:r w:rsidR="00EC0B86">
              <w:rPr>
                <w:rFonts w:asciiTheme="minorHAnsi" w:eastAsia="Malgun Gothic Semilight" w:hAnsiTheme="minorHAnsi" w:cstheme="minorHAnsi"/>
                <w:bCs/>
                <w:sz w:val="22"/>
                <w:szCs w:val="22"/>
              </w:rPr>
              <w:t>1</w:t>
            </w:r>
            <w:r w:rsidR="00F81980" w:rsidRPr="009E3EC2">
              <w:rPr>
                <w:rFonts w:asciiTheme="minorHAnsi" w:eastAsia="Malgun Gothic Semilight" w:hAnsiTheme="minorHAnsi" w:cstheme="minorHAnsi"/>
                <w:bCs/>
                <w:sz w:val="22"/>
                <w:szCs w:val="22"/>
                <w:vertAlign w:val="superscript"/>
              </w:rPr>
              <w:t>th</w:t>
            </w:r>
            <w:r w:rsidR="00F81980">
              <w:rPr>
                <w:rFonts w:asciiTheme="minorHAnsi" w:eastAsia="Malgun Gothic Semilight" w:hAnsiTheme="minorHAnsi" w:cstheme="minorHAnsi"/>
                <w:bCs/>
                <w:sz w:val="22"/>
                <w:szCs w:val="22"/>
              </w:rPr>
              <w:t xml:space="preserve"> </w:t>
            </w:r>
            <w:r>
              <w:rPr>
                <w:rFonts w:asciiTheme="minorHAnsi" w:eastAsia="Malgun Gothic Semilight" w:hAnsiTheme="minorHAnsi" w:cstheme="minorHAnsi"/>
                <w:bCs/>
                <w:sz w:val="22"/>
                <w:szCs w:val="22"/>
              </w:rPr>
              <w:t>June</w:t>
            </w:r>
            <w:r w:rsidR="009E3EC2">
              <w:rPr>
                <w:rFonts w:asciiTheme="minorHAnsi" w:eastAsia="Malgun Gothic Semilight" w:hAnsiTheme="minorHAnsi" w:cstheme="minorHAnsi"/>
                <w:bCs/>
                <w:sz w:val="22"/>
                <w:szCs w:val="22"/>
              </w:rPr>
              <w:t xml:space="preserve"> 2021</w:t>
            </w:r>
          </w:p>
        </w:tc>
        <w:tc>
          <w:tcPr>
            <w:tcW w:w="3021" w:type="dxa"/>
          </w:tcPr>
          <w:p w14:paraId="29DC6A5C" w14:textId="5245F30B" w:rsidR="000419D0" w:rsidRPr="00020FDE" w:rsidRDefault="009E3EC2" w:rsidP="00FD5524">
            <w:pPr>
              <w:spacing w:after="120"/>
              <w:jc w:val="center"/>
              <w:rPr>
                <w:rFonts w:asciiTheme="minorHAnsi" w:eastAsia="Malgun Gothic Semilight" w:hAnsiTheme="minorHAnsi" w:cstheme="minorHAnsi"/>
                <w:bCs/>
                <w:sz w:val="22"/>
                <w:szCs w:val="22"/>
              </w:rPr>
            </w:pPr>
            <w:r>
              <w:rPr>
                <w:rFonts w:asciiTheme="minorHAnsi" w:eastAsia="Malgun Gothic Semilight" w:hAnsiTheme="minorHAnsi" w:cstheme="minorHAnsi"/>
                <w:bCs/>
                <w:sz w:val="22"/>
                <w:szCs w:val="22"/>
              </w:rPr>
              <w:t>50</w:t>
            </w:r>
            <w:r w:rsidR="000419D0" w:rsidRPr="00020FDE">
              <w:rPr>
                <w:rFonts w:asciiTheme="minorHAnsi" w:eastAsia="Malgun Gothic Semilight" w:hAnsiTheme="minorHAnsi" w:cstheme="minorHAnsi"/>
                <w:bCs/>
                <w:sz w:val="22"/>
                <w:szCs w:val="22"/>
              </w:rPr>
              <w:t>%</w:t>
            </w:r>
          </w:p>
        </w:tc>
      </w:tr>
    </w:tbl>
    <w:p w14:paraId="66E1358D" w14:textId="77777777" w:rsidR="00FD5524" w:rsidRPr="00020FDE" w:rsidRDefault="00FD5524" w:rsidP="001E3CD3">
      <w:pPr>
        <w:spacing w:before="100" w:beforeAutospacing="1" w:after="100" w:afterAutospacing="1"/>
        <w:jc w:val="both"/>
        <w:rPr>
          <w:rFonts w:asciiTheme="minorHAnsi" w:hAnsiTheme="minorHAnsi" w:cstheme="minorHAnsi"/>
          <w:b/>
          <w:bCs/>
        </w:rPr>
      </w:pPr>
    </w:p>
    <w:p w14:paraId="1957AF92" w14:textId="4A165661" w:rsidR="00FD5524" w:rsidRPr="00020FDE" w:rsidRDefault="00FD5524" w:rsidP="001E3CD3">
      <w:pPr>
        <w:spacing w:before="100" w:beforeAutospacing="1" w:after="100" w:afterAutospacing="1"/>
        <w:jc w:val="both"/>
        <w:rPr>
          <w:rFonts w:asciiTheme="minorHAnsi" w:hAnsiTheme="minorHAnsi" w:cstheme="minorHAnsi"/>
          <w:b/>
          <w:bCs/>
        </w:rPr>
      </w:pPr>
      <w:r w:rsidRPr="00020FDE">
        <w:rPr>
          <w:rFonts w:asciiTheme="minorHAnsi" w:hAnsiTheme="minorHAnsi" w:cstheme="minorHAnsi"/>
          <w:b/>
          <w:bCs/>
        </w:rPr>
        <w:t>Resources Provided</w:t>
      </w:r>
    </w:p>
    <w:p w14:paraId="0D8D0045" w14:textId="1457F2B4" w:rsidR="009E3EC2" w:rsidRPr="00F81980" w:rsidRDefault="00F81980" w:rsidP="00020FDE">
      <w:pPr>
        <w:jc w:val="both"/>
        <w:rPr>
          <w:rFonts w:asciiTheme="minorHAnsi" w:hAnsiTheme="minorHAnsi" w:cstheme="minorHAnsi"/>
        </w:rPr>
      </w:pPr>
      <w:r>
        <w:rPr>
          <w:rFonts w:asciiTheme="minorHAnsi" w:hAnsiTheme="minorHAnsi" w:cstheme="minorHAnsi"/>
        </w:rPr>
        <w:t xml:space="preserve">NPC, MoEPD &amp; PSR, and </w:t>
      </w:r>
      <w:r w:rsidRPr="00F81980">
        <w:rPr>
          <w:rFonts w:asciiTheme="minorHAnsi" w:hAnsiTheme="minorHAnsi" w:cstheme="minorHAnsi"/>
        </w:rPr>
        <w:t xml:space="preserve">UNDP will provide support where need be to the </w:t>
      </w:r>
      <w:r w:rsidR="009E3EC2" w:rsidRPr="00F81980">
        <w:rPr>
          <w:rFonts w:asciiTheme="minorHAnsi" w:hAnsiTheme="minorHAnsi" w:cstheme="minorHAnsi"/>
        </w:rPr>
        <w:t>Consultant</w:t>
      </w:r>
      <w:r w:rsidR="00C1619B">
        <w:rPr>
          <w:rFonts w:asciiTheme="minorHAnsi" w:hAnsiTheme="minorHAnsi" w:cstheme="minorHAnsi"/>
        </w:rPr>
        <w:t xml:space="preserve">, </w:t>
      </w:r>
      <w:r w:rsidRPr="00F81980">
        <w:rPr>
          <w:rFonts w:asciiTheme="minorHAnsi" w:hAnsiTheme="minorHAnsi" w:cstheme="minorHAnsi"/>
        </w:rPr>
        <w:t>with identification of key persons and institutions</w:t>
      </w:r>
      <w:r w:rsidR="001440D4" w:rsidRPr="00F81980">
        <w:rPr>
          <w:rFonts w:asciiTheme="minorHAnsi" w:hAnsiTheme="minorHAnsi" w:cstheme="minorHAnsi"/>
        </w:rPr>
        <w:t>.</w:t>
      </w:r>
    </w:p>
    <w:p w14:paraId="360A6075" w14:textId="72B464D4" w:rsidR="00020FDE" w:rsidRPr="00020FDE" w:rsidRDefault="00020FDE" w:rsidP="00020FDE">
      <w:pPr>
        <w:jc w:val="both"/>
        <w:rPr>
          <w:rFonts w:asciiTheme="minorHAnsi" w:hAnsiTheme="minorHAnsi" w:cstheme="minorHAnsi"/>
          <w:b/>
          <w:bCs/>
        </w:rPr>
      </w:pPr>
      <w:r w:rsidRPr="00020FDE">
        <w:rPr>
          <w:rFonts w:asciiTheme="minorHAnsi" w:hAnsiTheme="minorHAnsi" w:cstheme="minorHAnsi"/>
          <w:b/>
          <w:bCs/>
        </w:rPr>
        <w:t>Reference Materials</w:t>
      </w:r>
    </w:p>
    <w:p w14:paraId="47232BB7" w14:textId="2370E15C" w:rsidR="00020FDE" w:rsidRPr="00020FDE" w:rsidRDefault="00020FDE" w:rsidP="00020FDE">
      <w:pPr>
        <w:spacing w:before="240"/>
        <w:jc w:val="both"/>
        <w:rPr>
          <w:rFonts w:asciiTheme="minorHAnsi" w:hAnsiTheme="minorHAnsi" w:cstheme="minorHAnsi"/>
        </w:rPr>
      </w:pPr>
      <w:r w:rsidRPr="00020FDE">
        <w:rPr>
          <w:rFonts w:asciiTheme="minorHAnsi" w:hAnsiTheme="minorHAnsi" w:cstheme="minorHAnsi"/>
        </w:rPr>
        <w:t>The consultant will be expected to refer to among others the following resource materials:</w:t>
      </w:r>
    </w:p>
    <w:p w14:paraId="2B50E2B3" w14:textId="77777777" w:rsidR="00020FDE" w:rsidRPr="00020FDE" w:rsidRDefault="00020FDE" w:rsidP="00020FDE">
      <w:pPr>
        <w:pStyle w:val="ListParagraph"/>
        <w:numPr>
          <w:ilvl w:val="0"/>
          <w:numId w:val="29"/>
        </w:numPr>
        <w:spacing w:after="160" w:line="259" w:lineRule="auto"/>
        <w:rPr>
          <w:rFonts w:asciiTheme="minorHAnsi" w:hAnsiTheme="minorHAnsi" w:cstheme="minorHAnsi"/>
        </w:rPr>
      </w:pPr>
      <w:r w:rsidRPr="00020FDE">
        <w:rPr>
          <w:rFonts w:asciiTheme="minorHAnsi" w:hAnsiTheme="minorHAnsi" w:cstheme="minorHAnsi"/>
        </w:rPr>
        <w:t xml:space="preserve">Malawi 2063 Vision Document </w:t>
      </w:r>
    </w:p>
    <w:p w14:paraId="5915B0FC" w14:textId="77777777" w:rsidR="00020FDE" w:rsidRPr="00020FDE" w:rsidRDefault="00020FDE" w:rsidP="00020FDE">
      <w:pPr>
        <w:pStyle w:val="ListParagraph"/>
        <w:numPr>
          <w:ilvl w:val="0"/>
          <w:numId w:val="29"/>
        </w:numPr>
        <w:spacing w:after="160" w:line="259" w:lineRule="auto"/>
        <w:rPr>
          <w:rFonts w:asciiTheme="minorHAnsi" w:hAnsiTheme="minorHAnsi" w:cstheme="minorHAnsi"/>
        </w:rPr>
      </w:pPr>
      <w:r w:rsidRPr="00020FDE">
        <w:rPr>
          <w:rFonts w:asciiTheme="minorHAnsi" w:hAnsiTheme="minorHAnsi" w:cstheme="minorHAnsi"/>
        </w:rPr>
        <w:t>Sustainable Development Goals (SDGs).</w:t>
      </w:r>
    </w:p>
    <w:p w14:paraId="4910CF1B" w14:textId="74C80F99" w:rsidR="00020FDE" w:rsidRDefault="00020FDE" w:rsidP="00020FDE">
      <w:pPr>
        <w:pStyle w:val="ListParagraph"/>
        <w:numPr>
          <w:ilvl w:val="0"/>
          <w:numId w:val="28"/>
        </w:numPr>
        <w:spacing w:before="240" w:after="160" w:line="259" w:lineRule="auto"/>
        <w:jc w:val="both"/>
        <w:rPr>
          <w:rFonts w:asciiTheme="minorHAnsi" w:hAnsiTheme="minorHAnsi" w:cstheme="minorHAnsi"/>
        </w:rPr>
      </w:pPr>
      <w:r w:rsidRPr="00020FDE">
        <w:rPr>
          <w:rFonts w:asciiTheme="minorHAnsi" w:hAnsiTheme="minorHAnsi" w:cstheme="minorHAnsi"/>
        </w:rPr>
        <w:t xml:space="preserve">Current SADC Regional Indicative Strategic Development Plan </w:t>
      </w:r>
    </w:p>
    <w:p w14:paraId="42E71726" w14:textId="5A573424" w:rsidR="00F81980" w:rsidRPr="00F81980" w:rsidRDefault="00F81980" w:rsidP="00F81980">
      <w:pPr>
        <w:pStyle w:val="ListParagraph"/>
        <w:numPr>
          <w:ilvl w:val="0"/>
          <w:numId w:val="28"/>
        </w:numPr>
        <w:rPr>
          <w:rFonts w:asciiTheme="minorHAnsi" w:hAnsiTheme="minorHAnsi" w:cstheme="minorHAnsi"/>
        </w:rPr>
      </w:pPr>
      <w:r w:rsidRPr="00F81980">
        <w:rPr>
          <w:rFonts w:asciiTheme="minorHAnsi" w:hAnsiTheme="minorHAnsi" w:cstheme="minorHAnsi"/>
        </w:rPr>
        <w:t>UNDP Capacity Assessment Framework (</w:t>
      </w:r>
      <w:hyperlink r:id="rId10" w:history="1">
        <w:r w:rsidRPr="0094297C">
          <w:rPr>
            <w:rStyle w:val="Hyperlink"/>
            <w:rFonts w:asciiTheme="minorHAnsi" w:hAnsiTheme="minorHAnsi" w:cstheme="minorHAnsi"/>
          </w:rPr>
          <w:t>https://www.undp.org/content/undp/en/home/librarypage/capacity-building/undp-capacity-assessment-methodology.html</w:t>
        </w:r>
      </w:hyperlink>
      <w:r>
        <w:rPr>
          <w:rFonts w:asciiTheme="minorHAnsi" w:hAnsiTheme="minorHAnsi" w:cstheme="minorHAnsi"/>
        </w:rPr>
        <w:t xml:space="preserve"> </w:t>
      </w:r>
      <w:r w:rsidRPr="00F81980">
        <w:rPr>
          <w:rFonts w:asciiTheme="minorHAnsi" w:hAnsiTheme="minorHAnsi" w:cstheme="minorHAnsi"/>
        </w:rPr>
        <w:t xml:space="preserve">) </w:t>
      </w:r>
    </w:p>
    <w:p w14:paraId="1CBCD512" w14:textId="67762288" w:rsidR="006E7350" w:rsidRPr="00020FDE" w:rsidRDefault="006E7350" w:rsidP="001E3CD3">
      <w:pPr>
        <w:spacing w:before="100" w:beforeAutospacing="1" w:after="100" w:afterAutospacing="1"/>
        <w:jc w:val="both"/>
        <w:rPr>
          <w:rFonts w:asciiTheme="minorHAnsi" w:hAnsiTheme="minorHAnsi" w:cstheme="minorHAnsi"/>
          <w:b/>
          <w:bCs/>
        </w:rPr>
      </w:pPr>
      <w:r w:rsidRPr="00020FDE">
        <w:rPr>
          <w:rFonts w:asciiTheme="minorHAnsi" w:hAnsiTheme="minorHAnsi" w:cstheme="minorHAnsi"/>
          <w:b/>
          <w:bCs/>
        </w:rPr>
        <w:t>Education and Experience Required</w:t>
      </w:r>
    </w:p>
    <w:p w14:paraId="2BA65010" w14:textId="4241106D" w:rsidR="00FD5524" w:rsidRPr="00020FDE" w:rsidRDefault="006C60E2" w:rsidP="00FD5524">
      <w:pPr>
        <w:pStyle w:val="ListParagraph"/>
        <w:numPr>
          <w:ilvl w:val="0"/>
          <w:numId w:val="26"/>
        </w:num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 xml:space="preserve">At </w:t>
      </w:r>
      <w:r w:rsidR="00FD5524" w:rsidRPr="00020FDE">
        <w:rPr>
          <w:rFonts w:asciiTheme="minorHAnsi" w:hAnsiTheme="minorHAnsi" w:cstheme="minorHAnsi"/>
        </w:rPr>
        <w:t xml:space="preserve">least recognized </w:t>
      </w:r>
      <w:r w:rsidR="001440D4" w:rsidRPr="00020FDE">
        <w:rPr>
          <w:rFonts w:asciiTheme="minorHAnsi" w:hAnsiTheme="minorHAnsi" w:cstheme="minorHAnsi"/>
        </w:rPr>
        <w:t>master’s</w:t>
      </w:r>
      <w:r w:rsidR="00FD5524" w:rsidRPr="00020FDE">
        <w:rPr>
          <w:rFonts w:asciiTheme="minorHAnsi" w:hAnsiTheme="minorHAnsi" w:cstheme="minorHAnsi"/>
        </w:rPr>
        <w:t xml:space="preserve"> degree (Preferably PhD) in Development Studies, Economics, Management, Capacity Building, Public Administration or</w:t>
      </w:r>
      <w:r w:rsidR="00C1619B">
        <w:rPr>
          <w:rFonts w:asciiTheme="minorHAnsi" w:hAnsiTheme="minorHAnsi" w:cstheme="minorHAnsi"/>
        </w:rPr>
        <w:t xml:space="preserve"> any</w:t>
      </w:r>
      <w:r w:rsidR="00FD5524" w:rsidRPr="00020FDE">
        <w:rPr>
          <w:rFonts w:asciiTheme="minorHAnsi" w:hAnsiTheme="minorHAnsi" w:cstheme="minorHAnsi"/>
        </w:rPr>
        <w:t xml:space="preserve"> other related field.</w:t>
      </w:r>
    </w:p>
    <w:p w14:paraId="72B52986" w14:textId="3F3BDA50" w:rsidR="00FD5524" w:rsidRPr="00020FDE" w:rsidRDefault="00FD5524" w:rsidP="00FD5524">
      <w:pPr>
        <w:pStyle w:val="ListParagraph"/>
        <w:numPr>
          <w:ilvl w:val="0"/>
          <w:numId w:val="26"/>
        </w:num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Minimum 10 years of relevant experience and training experience with a focus on Capacity Development Strategies/plans/activities on Foresight and Horizontal Scanning.</w:t>
      </w:r>
    </w:p>
    <w:p w14:paraId="2B06FD55" w14:textId="5F556F0C" w:rsidR="00FD5524" w:rsidRPr="00020FDE" w:rsidRDefault="00FD5524" w:rsidP="00FD5524">
      <w:pPr>
        <w:pStyle w:val="ListParagraph"/>
        <w:numPr>
          <w:ilvl w:val="0"/>
          <w:numId w:val="26"/>
        </w:num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A comprehensive knowledge of Malawi or related Government policy /programs design context.</w:t>
      </w:r>
    </w:p>
    <w:p w14:paraId="46315EE6" w14:textId="0BF7628E" w:rsidR="00FD5524" w:rsidRPr="00020FDE" w:rsidRDefault="00FD5524" w:rsidP="00FD5524">
      <w:pPr>
        <w:pStyle w:val="ListParagraph"/>
        <w:numPr>
          <w:ilvl w:val="0"/>
          <w:numId w:val="26"/>
        </w:num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 xml:space="preserve">At least </w:t>
      </w:r>
      <w:r w:rsidR="001440D4">
        <w:rPr>
          <w:rFonts w:asciiTheme="minorHAnsi" w:hAnsiTheme="minorHAnsi" w:cstheme="minorHAnsi"/>
        </w:rPr>
        <w:t xml:space="preserve">5 </w:t>
      </w:r>
      <w:r w:rsidRPr="00020FDE">
        <w:rPr>
          <w:rFonts w:asciiTheme="minorHAnsi" w:hAnsiTheme="minorHAnsi" w:cstheme="minorHAnsi"/>
        </w:rPr>
        <w:t>years of previous experience on development of a Capacity Development strategy and results framework for Government institutions or bi-lateral partners will be an advantage.</w:t>
      </w:r>
    </w:p>
    <w:p w14:paraId="44E60582" w14:textId="265A4011" w:rsidR="00847E52" w:rsidRPr="00020FDE" w:rsidRDefault="00847E52" w:rsidP="00FD5524">
      <w:pPr>
        <w:autoSpaceDE w:val="0"/>
        <w:autoSpaceDN w:val="0"/>
        <w:adjustRightInd w:val="0"/>
        <w:spacing w:after="0" w:line="259" w:lineRule="auto"/>
        <w:rPr>
          <w:rFonts w:asciiTheme="minorHAnsi" w:hAnsiTheme="minorHAnsi" w:cstheme="minorHAnsi"/>
        </w:rPr>
      </w:pPr>
    </w:p>
    <w:p w14:paraId="3B6D710C" w14:textId="1AADCDDD" w:rsidR="007F3954" w:rsidRPr="00020FDE" w:rsidRDefault="007F3954" w:rsidP="00847E52">
      <w:pPr>
        <w:jc w:val="both"/>
        <w:rPr>
          <w:rFonts w:asciiTheme="minorHAnsi" w:hAnsiTheme="minorHAnsi" w:cstheme="minorHAnsi"/>
          <w:color w:val="000000"/>
        </w:rPr>
      </w:pPr>
      <w:r w:rsidRPr="00020FDE">
        <w:rPr>
          <w:rFonts w:asciiTheme="minorHAnsi" w:hAnsiTheme="minorHAnsi" w:cstheme="minorHAnsi"/>
          <w:b/>
          <w:bCs/>
          <w:color w:val="000000" w:themeColor="text1"/>
        </w:rPr>
        <w:t>Competencies:</w:t>
      </w:r>
    </w:p>
    <w:p w14:paraId="0B077029" w14:textId="77777777" w:rsidR="00FD5524" w:rsidRPr="00020FDE" w:rsidRDefault="00FD5524" w:rsidP="00FD5524">
      <w:pPr>
        <w:pStyle w:val="ListParagraph"/>
        <w:numPr>
          <w:ilvl w:val="0"/>
          <w:numId w:val="26"/>
        </w:num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Fluent in English.</w:t>
      </w:r>
    </w:p>
    <w:p w14:paraId="3FA07883" w14:textId="77777777" w:rsidR="00FD5524" w:rsidRPr="00020FDE" w:rsidRDefault="00FD5524" w:rsidP="00FD5524">
      <w:pPr>
        <w:pStyle w:val="ListParagraph"/>
        <w:numPr>
          <w:ilvl w:val="0"/>
          <w:numId w:val="26"/>
        </w:num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Demonstrated innovative and “out-of-the-box” approach to capacity building.</w:t>
      </w:r>
    </w:p>
    <w:p w14:paraId="7DB30DD8" w14:textId="77777777" w:rsidR="00F81980" w:rsidRDefault="00F81980" w:rsidP="006E7350">
      <w:pPr>
        <w:autoSpaceDE w:val="0"/>
        <w:autoSpaceDN w:val="0"/>
        <w:adjustRightInd w:val="0"/>
        <w:spacing w:after="0" w:line="240" w:lineRule="auto"/>
        <w:rPr>
          <w:rFonts w:asciiTheme="minorHAnsi" w:eastAsia="Times New Roman" w:hAnsiTheme="minorHAnsi" w:cstheme="minorHAnsi"/>
          <w:b/>
          <w:bCs/>
        </w:rPr>
      </w:pPr>
    </w:p>
    <w:p w14:paraId="24D4A6B7" w14:textId="672125C6" w:rsidR="006E7350" w:rsidRPr="00020FDE" w:rsidRDefault="006E7350" w:rsidP="006E7350">
      <w:pPr>
        <w:autoSpaceDE w:val="0"/>
        <w:autoSpaceDN w:val="0"/>
        <w:adjustRightInd w:val="0"/>
        <w:spacing w:after="0" w:line="240" w:lineRule="auto"/>
        <w:rPr>
          <w:rFonts w:asciiTheme="minorHAnsi" w:eastAsia="Times New Roman" w:hAnsiTheme="minorHAnsi" w:cstheme="minorHAnsi"/>
          <w:b/>
          <w:bCs/>
        </w:rPr>
      </w:pPr>
      <w:r w:rsidRPr="00020FDE">
        <w:rPr>
          <w:rFonts w:asciiTheme="minorHAnsi" w:eastAsia="Times New Roman" w:hAnsiTheme="minorHAnsi" w:cstheme="minorHAnsi"/>
          <w:b/>
          <w:bCs/>
        </w:rPr>
        <w:lastRenderedPageBreak/>
        <w:t xml:space="preserve">Evaluation </w:t>
      </w:r>
    </w:p>
    <w:p w14:paraId="0D0C838A" w14:textId="77777777" w:rsidR="006E7350" w:rsidRPr="00020FDE" w:rsidRDefault="006E7350" w:rsidP="006E7350">
      <w:pPr>
        <w:rPr>
          <w:rFonts w:asciiTheme="minorHAnsi" w:hAnsiTheme="minorHAnsi" w:cstheme="minorHAnsi"/>
          <w:u w:val="single"/>
        </w:rPr>
      </w:pPr>
      <w:r w:rsidRPr="00020FDE">
        <w:rPr>
          <w:rFonts w:asciiTheme="minorHAnsi" w:hAnsiTheme="minorHAnsi" w:cstheme="minorHAnsi"/>
          <w:u w:val="single"/>
        </w:rPr>
        <w:br/>
        <w:t xml:space="preserve">Cumulative analysis </w:t>
      </w:r>
    </w:p>
    <w:p w14:paraId="341EFC6E" w14:textId="77777777" w:rsidR="006E7350" w:rsidRPr="00020FDE" w:rsidRDefault="006E7350" w:rsidP="006E7350">
      <w:pPr>
        <w:rPr>
          <w:rFonts w:asciiTheme="minorHAnsi" w:hAnsiTheme="minorHAnsi" w:cstheme="minorHAnsi"/>
        </w:rPr>
      </w:pPr>
      <w:r w:rsidRPr="00020FDE">
        <w:rPr>
          <w:rFonts w:asciiTheme="minorHAnsi" w:hAnsiTheme="minorHAnsi" w:cstheme="minorHAnsi"/>
        </w:rPr>
        <w:t>The proposals will be evaluated using the cumulative analysis method with a split 70% technical and 30% financial scoring. The proposal with the highest cumulative scoring will be awarded the contract. Applications will be evaluated technically, and points are attributed based on how well the proposal meets the requirements of the Terms of Reference using the guidelines detailed in the table below:</w:t>
      </w:r>
    </w:p>
    <w:p w14:paraId="23C6E3C0" w14:textId="77777777" w:rsidR="006E7350" w:rsidRPr="00020FDE" w:rsidRDefault="006E7350" w:rsidP="006E7350">
      <w:pPr>
        <w:rPr>
          <w:rFonts w:asciiTheme="minorHAnsi" w:hAnsiTheme="minorHAnsi" w:cstheme="minorHAnsi"/>
        </w:rPr>
      </w:pPr>
      <w:r w:rsidRPr="00020FDE">
        <w:rPr>
          <w:rFonts w:asciiTheme="minorHAnsi" w:hAnsiTheme="minorHAnsi" w:cstheme="minorHAnsi"/>
        </w:rPr>
        <w:t>When using this weighted scoring method, the award of the contract may be made to the individual consultant whose offer has been evaluated and determined as:</w:t>
      </w:r>
    </w:p>
    <w:p w14:paraId="201C03C9" w14:textId="77777777" w:rsidR="006E7350" w:rsidRPr="00020FDE" w:rsidRDefault="006E7350" w:rsidP="006E7350">
      <w:pPr>
        <w:rPr>
          <w:rFonts w:asciiTheme="minorHAnsi" w:hAnsiTheme="minorHAnsi" w:cstheme="minorHAnsi"/>
        </w:rPr>
      </w:pPr>
      <w:r w:rsidRPr="00020FDE">
        <w:rPr>
          <w:rFonts w:asciiTheme="minorHAnsi" w:hAnsiTheme="minorHAnsi" w:cstheme="minorHAnsi"/>
        </w:rPr>
        <w:t>a) Responsive/compliant/acceptable, and</w:t>
      </w:r>
    </w:p>
    <w:p w14:paraId="6DC9F0FC" w14:textId="77777777" w:rsidR="006E7350" w:rsidRPr="00020FDE" w:rsidRDefault="006E7350" w:rsidP="006E7350">
      <w:pPr>
        <w:rPr>
          <w:rFonts w:asciiTheme="minorHAnsi" w:hAnsiTheme="minorHAnsi" w:cstheme="minorHAnsi"/>
        </w:rPr>
      </w:pPr>
      <w:r w:rsidRPr="00020FDE">
        <w:rPr>
          <w:rFonts w:asciiTheme="minorHAnsi" w:hAnsiTheme="minorHAnsi" w:cstheme="minorHAnsi"/>
        </w:rPr>
        <w:t xml:space="preserve">b) Having received the highest score out of a pre-determined set of weighted technical and financial criteria specific to the solicitation. </w:t>
      </w:r>
    </w:p>
    <w:p w14:paraId="772EF1DF" w14:textId="77777777" w:rsidR="006E7350" w:rsidRPr="00020FDE" w:rsidRDefault="006E7350" w:rsidP="006E7350">
      <w:pPr>
        <w:rPr>
          <w:rFonts w:asciiTheme="minorHAnsi" w:hAnsiTheme="minorHAnsi" w:cstheme="minorHAnsi"/>
        </w:rPr>
      </w:pPr>
      <w:r w:rsidRPr="00020FDE">
        <w:rPr>
          <w:rFonts w:asciiTheme="minorHAnsi" w:hAnsiTheme="minorHAnsi" w:cstheme="minorHAnsi"/>
        </w:rPr>
        <w:t>* Technical Criteria weighting; 70%</w:t>
      </w:r>
    </w:p>
    <w:p w14:paraId="5F0201CE" w14:textId="77777777" w:rsidR="006E7350" w:rsidRPr="00020FDE" w:rsidRDefault="006E7350" w:rsidP="006E7350">
      <w:pPr>
        <w:rPr>
          <w:rFonts w:asciiTheme="minorHAnsi" w:hAnsiTheme="minorHAnsi" w:cstheme="minorHAnsi"/>
        </w:rPr>
      </w:pPr>
      <w:r w:rsidRPr="00020FDE">
        <w:rPr>
          <w:rFonts w:asciiTheme="minorHAnsi" w:hAnsiTheme="minorHAnsi" w:cstheme="minorHAnsi"/>
        </w:rPr>
        <w:t>* Financial Criteria weighting; 30%</w:t>
      </w:r>
    </w:p>
    <w:p w14:paraId="6B0C172C" w14:textId="77777777" w:rsidR="006E7350" w:rsidRPr="00020FDE" w:rsidRDefault="006E7350" w:rsidP="006E7350">
      <w:pPr>
        <w:pStyle w:val="Default"/>
        <w:jc w:val="both"/>
        <w:rPr>
          <w:rFonts w:asciiTheme="minorHAnsi" w:hAnsiTheme="minorHAnsi" w:cstheme="minorHAnsi"/>
          <w:sz w:val="22"/>
          <w:szCs w:val="22"/>
        </w:rPr>
      </w:pPr>
      <w:r w:rsidRPr="00020FDE">
        <w:rPr>
          <w:rFonts w:asciiTheme="minorHAnsi" w:hAnsiTheme="minorHAnsi" w:cstheme="minorHAnsi"/>
          <w:sz w:val="22"/>
          <w:szCs w:val="22"/>
        </w:rPr>
        <w:t>Only candidates obtaining a minimum of 49 points in the Technical Evaluation would be considered for the Financial Evaluation. Interviews may be conducted as part of technical assessment for shortlisted proposals.</w:t>
      </w:r>
    </w:p>
    <w:p w14:paraId="25FB7083" w14:textId="77777777" w:rsidR="007F3954" w:rsidRPr="00020FDE" w:rsidRDefault="007F3954" w:rsidP="006E7350">
      <w:pPr>
        <w:pStyle w:val="Default"/>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8"/>
        <w:gridCol w:w="810"/>
        <w:gridCol w:w="1255"/>
      </w:tblGrid>
      <w:tr w:rsidR="006E7350" w:rsidRPr="00020FDE" w14:paraId="2EA8AC71" w14:textId="77777777" w:rsidTr="00FD5524">
        <w:tc>
          <w:tcPr>
            <w:tcW w:w="6948" w:type="dxa"/>
            <w:shd w:val="clear" w:color="auto" w:fill="auto"/>
          </w:tcPr>
          <w:p w14:paraId="78E590AA" w14:textId="77777777" w:rsidR="006E7350" w:rsidRPr="00020FDE" w:rsidRDefault="006E7350" w:rsidP="0019040C">
            <w:pPr>
              <w:pStyle w:val="Default"/>
              <w:jc w:val="both"/>
              <w:rPr>
                <w:rFonts w:asciiTheme="minorHAnsi" w:hAnsiTheme="minorHAnsi" w:cstheme="minorHAnsi"/>
                <w:b/>
                <w:sz w:val="22"/>
                <w:szCs w:val="22"/>
              </w:rPr>
            </w:pPr>
            <w:r w:rsidRPr="00020FDE">
              <w:rPr>
                <w:rFonts w:asciiTheme="minorHAnsi" w:hAnsiTheme="minorHAnsi" w:cstheme="minorHAnsi"/>
                <w:b/>
                <w:sz w:val="22"/>
                <w:szCs w:val="22"/>
              </w:rPr>
              <w:t>Criteria</w:t>
            </w:r>
          </w:p>
        </w:tc>
        <w:tc>
          <w:tcPr>
            <w:tcW w:w="810" w:type="dxa"/>
            <w:shd w:val="clear" w:color="auto" w:fill="auto"/>
          </w:tcPr>
          <w:p w14:paraId="19EBD3C7" w14:textId="77777777" w:rsidR="006E7350" w:rsidRPr="00020FDE" w:rsidRDefault="006E7350" w:rsidP="0019040C">
            <w:pPr>
              <w:pStyle w:val="Default"/>
              <w:jc w:val="center"/>
              <w:rPr>
                <w:rFonts w:asciiTheme="minorHAnsi" w:hAnsiTheme="minorHAnsi" w:cstheme="minorHAnsi"/>
                <w:b/>
                <w:sz w:val="22"/>
                <w:szCs w:val="22"/>
              </w:rPr>
            </w:pPr>
            <w:r w:rsidRPr="00020FDE">
              <w:rPr>
                <w:rFonts w:asciiTheme="minorHAnsi" w:hAnsiTheme="minorHAnsi" w:cstheme="minorHAnsi"/>
                <w:b/>
                <w:sz w:val="22"/>
                <w:szCs w:val="22"/>
              </w:rPr>
              <w:t>Points</w:t>
            </w:r>
          </w:p>
        </w:tc>
        <w:tc>
          <w:tcPr>
            <w:tcW w:w="1255" w:type="dxa"/>
          </w:tcPr>
          <w:p w14:paraId="07284340" w14:textId="77777777" w:rsidR="006E7350" w:rsidRPr="00020FDE" w:rsidRDefault="006E7350" w:rsidP="0019040C">
            <w:pPr>
              <w:pStyle w:val="Default"/>
              <w:jc w:val="center"/>
              <w:rPr>
                <w:rFonts w:asciiTheme="minorHAnsi" w:hAnsiTheme="minorHAnsi" w:cstheme="minorHAnsi"/>
                <w:b/>
                <w:sz w:val="22"/>
                <w:szCs w:val="22"/>
              </w:rPr>
            </w:pPr>
            <w:r w:rsidRPr="00020FDE">
              <w:rPr>
                <w:rFonts w:asciiTheme="minorHAnsi" w:hAnsiTheme="minorHAnsi" w:cstheme="minorHAnsi"/>
                <w:b/>
                <w:sz w:val="22"/>
                <w:szCs w:val="22"/>
              </w:rPr>
              <w:t>Percentage</w:t>
            </w:r>
          </w:p>
        </w:tc>
      </w:tr>
      <w:tr w:rsidR="006E7350" w:rsidRPr="00020FDE" w14:paraId="492A7B51" w14:textId="77777777" w:rsidTr="00FD5524">
        <w:tc>
          <w:tcPr>
            <w:tcW w:w="6948" w:type="dxa"/>
            <w:shd w:val="clear" w:color="auto" w:fill="auto"/>
          </w:tcPr>
          <w:p w14:paraId="17EC3BC0" w14:textId="77777777" w:rsidR="006E7350" w:rsidRPr="00020FDE" w:rsidRDefault="006E7350" w:rsidP="0019040C">
            <w:pPr>
              <w:pStyle w:val="Default"/>
              <w:jc w:val="both"/>
              <w:rPr>
                <w:rFonts w:asciiTheme="minorHAnsi" w:hAnsiTheme="minorHAnsi" w:cstheme="minorHAnsi"/>
                <w:b/>
                <w:sz w:val="22"/>
                <w:szCs w:val="22"/>
              </w:rPr>
            </w:pPr>
            <w:r w:rsidRPr="00020FDE">
              <w:rPr>
                <w:rFonts w:asciiTheme="minorHAnsi" w:hAnsiTheme="minorHAnsi" w:cstheme="minorHAnsi"/>
                <w:b/>
                <w:sz w:val="22"/>
                <w:szCs w:val="22"/>
              </w:rPr>
              <w:t>Qualification</w:t>
            </w:r>
          </w:p>
        </w:tc>
        <w:tc>
          <w:tcPr>
            <w:tcW w:w="810" w:type="dxa"/>
            <w:shd w:val="clear" w:color="auto" w:fill="auto"/>
          </w:tcPr>
          <w:p w14:paraId="5CBD0047" w14:textId="77777777" w:rsidR="006E7350" w:rsidRPr="00020FDE" w:rsidRDefault="006E7350" w:rsidP="0019040C">
            <w:pPr>
              <w:pStyle w:val="Default"/>
              <w:jc w:val="center"/>
              <w:rPr>
                <w:rFonts w:asciiTheme="minorHAnsi" w:hAnsiTheme="minorHAnsi" w:cstheme="minorHAnsi"/>
                <w:b/>
                <w:sz w:val="22"/>
                <w:szCs w:val="22"/>
              </w:rPr>
            </w:pPr>
          </w:p>
        </w:tc>
        <w:tc>
          <w:tcPr>
            <w:tcW w:w="1255" w:type="dxa"/>
          </w:tcPr>
          <w:p w14:paraId="59C0813A" w14:textId="2014C359" w:rsidR="006E7350" w:rsidRPr="00020FDE" w:rsidRDefault="00511CCF" w:rsidP="0019040C">
            <w:pPr>
              <w:pStyle w:val="Default"/>
              <w:jc w:val="center"/>
              <w:rPr>
                <w:rFonts w:asciiTheme="minorHAnsi" w:hAnsiTheme="minorHAnsi" w:cstheme="minorHAnsi"/>
                <w:b/>
                <w:sz w:val="22"/>
                <w:szCs w:val="22"/>
              </w:rPr>
            </w:pPr>
            <w:r w:rsidRPr="00020FDE">
              <w:rPr>
                <w:rFonts w:asciiTheme="minorHAnsi" w:hAnsiTheme="minorHAnsi" w:cstheme="minorHAnsi"/>
                <w:b/>
                <w:sz w:val="22"/>
                <w:szCs w:val="22"/>
              </w:rPr>
              <w:t>1</w:t>
            </w:r>
            <w:r w:rsidR="00225F89" w:rsidRPr="00020FDE">
              <w:rPr>
                <w:rFonts w:asciiTheme="minorHAnsi" w:hAnsiTheme="minorHAnsi" w:cstheme="minorHAnsi"/>
                <w:b/>
                <w:sz w:val="22"/>
                <w:szCs w:val="22"/>
              </w:rPr>
              <w:t>0</w:t>
            </w:r>
            <w:r w:rsidR="006E7350" w:rsidRPr="00020FDE">
              <w:rPr>
                <w:rFonts w:asciiTheme="minorHAnsi" w:hAnsiTheme="minorHAnsi" w:cstheme="minorHAnsi"/>
                <w:b/>
                <w:sz w:val="22"/>
                <w:szCs w:val="22"/>
              </w:rPr>
              <w:t>%</w:t>
            </w:r>
          </w:p>
        </w:tc>
      </w:tr>
      <w:tr w:rsidR="006E7350" w:rsidRPr="00020FDE" w14:paraId="46C0F47B" w14:textId="77777777" w:rsidTr="00FD5524">
        <w:trPr>
          <w:trHeight w:val="449"/>
        </w:trPr>
        <w:tc>
          <w:tcPr>
            <w:tcW w:w="6948" w:type="dxa"/>
            <w:shd w:val="clear" w:color="auto" w:fill="auto"/>
          </w:tcPr>
          <w:p w14:paraId="7DC9A5D1" w14:textId="3EE055C1" w:rsidR="006E7350" w:rsidRPr="00020FDE" w:rsidRDefault="00FD5524" w:rsidP="00FD5524">
            <w:p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 xml:space="preserve">At least recognized </w:t>
            </w:r>
            <w:proofErr w:type="gramStart"/>
            <w:r w:rsidRPr="00020FDE">
              <w:rPr>
                <w:rFonts w:asciiTheme="minorHAnsi" w:hAnsiTheme="minorHAnsi" w:cstheme="minorHAnsi"/>
              </w:rPr>
              <w:t>Master’s</w:t>
            </w:r>
            <w:proofErr w:type="gramEnd"/>
            <w:r w:rsidRPr="00020FDE">
              <w:rPr>
                <w:rFonts w:asciiTheme="minorHAnsi" w:hAnsiTheme="minorHAnsi" w:cstheme="minorHAnsi"/>
              </w:rPr>
              <w:t xml:space="preserve"> degree (Preferably PhD) in Development Studies, Economics, Management, Capacity Building, Public Administration or other related field.</w:t>
            </w:r>
          </w:p>
        </w:tc>
        <w:tc>
          <w:tcPr>
            <w:tcW w:w="810" w:type="dxa"/>
            <w:shd w:val="clear" w:color="auto" w:fill="auto"/>
          </w:tcPr>
          <w:p w14:paraId="4C6F6FAB" w14:textId="16F7453E" w:rsidR="006E7350" w:rsidRPr="00020FDE" w:rsidRDefault="00511CCF" w:rsidP="00CB2598">
            <w:pPr>
              <w:pStyle w:val="Default"/>
              <w:tabs>
                <w:tab w:val="left" w:pos="405"/>
                <w:tab w:val="center" w:pos="466"/>
              </w:tabs>
              <w:jc w:val="center"/>
              <w:rPr>
                <w:rFonts w:asciiTheme="minorHAnsi" w:hAnsiTheme="minorHAnsi" w:cstheme="minorHAnsi"/>
                <w:sz w:val="22"/>
                <w:szCs w:val="22"/>
              </w:rPr>
            </w:pPr>
            <w:r w:rsidRPr="00020FDE">
              <w:rPr>
                <w:rFonts w:asciiTheme="minorHAnsi" w:hAnsiTheme="minorHAnsi" w:cstheme="minorHAnsi"/>
                <w:sz w:val="22"/>
                <w:szCs w:val="22"/>
              </w:rPr>
              <w:t>1</w:t>
            </w:r>
            <w:r w:rsidR="007F3954" w:rsidRPr="00020FDE">
              <w:rPr>
                <w:rFonts w:asciiTheme="minorHAnsi" w:hAnsiTheme="minorHAnsi" w:cstheme="minorHAnsi"/>
                <w:sz w:val="22"/>
                <w:szCs w:val="22"/>
              </w:rPr>
              <w:t>0</w:t>
            </w:r>
          </w:p>
        </w:tc>
        <w:tc>
          <w:tcPr>
            <w:tcW w:w="1255" w:type="dxa"/>
          </w:tcPr>
          <w:p w14:paraId="6A1BC77D" w14:textId="77777777" w:rsidR="006E7350" w:rsidRPr="00020FDE" w:rsidRDefault="006E7350" w:rsidP="0019040C">
            <w:pPr>
              <w:pStyle w:val="Default"/>
              <w:jc w:val="center"/>
              <w:rPr>
                <w:rFonts w:asciiTheme="minorHAnsi" w:hAnsiTheme="minorHAnsi" w:cstheme="minorHAnsi"/>
                <w:sz w:val="22"/>
                <w:szCs w:val="22"/>
              </w:rPr>
            </w:pPr>
          </w:p>
        </w:tc>
      </w:tr>
      <w:tr w:rsidR="006E7350" w:rsidRPr="00020FDE" w14:paraId="23AB2873" w14:textId="77777777" w:rsidTr="00FD5524">
        <w:tc>
          <w:tcPr>
            <w:tcW w:w="6948" w:type="dxa"/>
            <w:shd w:val="clear" w:color="auto" w:fill="auto"/>
          </w:tcPr>
          <w:p w14:paraId="736FE600" w14:textId="77777777" w:rsidR="006E7350" w:rsidRPr="00020FDE" w:rsidRDefault="006E7350" w:rsidP="0019040C">
            <w:pPr>
              <w:pStyle w:val="Default"/>
              <w:jc w:val="both"/>
              <w:rPr>
                <w:rFonts w:asciiTheme="minorHAnsi" w:hAnsiTheme="minorHAnsi" w:cstheme="minorHAnsi"/>
                <w:b/>
                <w:sz w:val="22"/>
                <w:szCs w:val="22"/>
              </w:rPr>
            </w:pPr>
            <w:r w:rsidRPr="00020FDE">
              <w:rPr>
                <w:rFonts w:asciiTheme="minorHAnsi" w:hAnsiTheme="minorHAnsi" w:cstheme="minorHAnsi"/>
                <w:b/>
                <w:sz w:val="22"/>
                <w:szCs w:val="22"/>
              </w:rPr>
              <w:t>Experience</w:t>
            </w:r>
          </w:p>
        </w:tc>
        <w:tc>
          <w:tcPr>
            <w:tcW w:w="810" w:type="dxa"/>
            <w:shd w:val="clear" w:color="auto" w:fill="auto"/>
          </w:tcPr>
          <w:p w14:paraId="26D78D9B" w14:textId="77777777" w:rsidR="006E7350" w:rsidRPr="00020FDE" w:rsidRDefault="006E7350" w:rsidP="0019040C">
            <w:pPr>
              <w:pStyle w:val="Default"/>
              <w:jc w:val="center"/>
              <w:rPr>
                <w:rFonts w:asciiTheme="minorHAnsi" w:hAnsiTheme="minorHAnsi" w:cstheme="minorHAnsi"/>
                <w:sz w:val="22"/>
                <w:szCs w:val="22"/>
              </w:rPr>
            </w:pPr>
          </w:p>
        </w:tc>
        <w:tc>
          <w:tcPr>
            <w:tcW w:w="1255" w:type="dxa"/>
          </w:tcPr>
          <w:p w14:paraId="366033AC" w14:textId="00428EC7" w:rsidR="006E7350" w:rsidRPr="00020FDE" w:rsidRDefault="00FD5524" w:rsidP="0019040C">
            <w:pPr>
              <w:pStyle w:val="Default"/>
              <w:jc w:val="center"/>
              <w:rPr>
                <w:rFonts w:asciiTheme="minorHAnsi" w:hAnsiTheme="minorHAnsi" w:cstheme="minorHAnsi"/>
                <w:b/>
                <w:sz w:val="22"/>
                <w:szCs w:val="22"/>
              </w:rPr>
            </w:pPr>
            <w:r w:rsidRPr="00020FDE">
              <w:rPr>
                <w:rFonts w:asciiTheme="minorHAnsi" w:hAnsiTheme="minorHAnsi" w:cstheme="minorHAnsi"/>
                <w:b/>
                <w:sz w:val="22"/>
                <w:szCs w:val="22"/>
              </w:rPr>
              <w:t>55</w:t>
            </w:r>
            <w:r w:rsidR="006E7350" w:rsidRPr="00020FDE">
              <w:rPr>
                <w:rFonts w:asciiTheme="minorHAnsi" w:hAnsiTheme="minorHAnsi" w:cstheme="minorHAnsi"/>
                <w:b/>
                <w:sz w:val="22"/>
                <w:szCs w:val="22"/>
              </w:rPr>
              <w:t>%</w:t>
            </w:r>
          </w:p>
        </w:tc>
      </w:tr>
      <w:tr w:rsidR="006E7350" w:rsidRPr="00020FDE" w14:paraId="6C28FEAA" w14:textId="77777777" w:rsidTr="00FD5524">
        <w:trPr>
          <w:trHeight w:val="494"/>
        </w:trPr>
        <w:tc>
          <w:tcPr>
            <w:tcW w:w="6948" w:type="dxa"/>
            <w:shd w:val="clear" w:color="auto" w:fill="auto"/>
          </w:tcPr>
          <w:p w14:paraId="1F183C72" w14:textId="7DE4E3D1" w:rsidR="006E7350" w:rsidRPr="00020FDE" w:rsidRDefault="00FD5524" w:rsidP="00020FDE">
            <w:p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Minimum 10 years of relevant experience and training experience with a focus on Capacity Development Strategies/plans/activities on Foresight and Horizontal Scanning.</w:t>
            </w:r>
          </w:p>
        </w:tc>
        <w:tc>
          <w:tcPr>
            <w:tcW w:w="810" w:type="dxa"/>
            <w:shd w:val="clear" w:color="auto" w:fill="auto"/>
          </w:tcPr>
          <w:p w14:paraId="7FD391AA" w14:textId="1EEDB800" w:rsidR="006E7350" w:rsidRPr="00020FDE" w:rsidRDefault="00FD5524" w:rsidP="0019040C">
            <w:pPr>
              <w:pStyle w:val="Default"/>
              <w:jc w:val="center"/>
              <w:rPr>
                <w:rFonts w:asciiTheme="minorHAnsi" w:hAnsiTheme="minorHAnsi" w:cstheme="minorHAnsi"/>
                <w:sz w:val="22"/>
                <w:szCs w:val="22"/>
              </w:rPr>
            </w:pPr>
            <w:r w:rsidRPr="00020FDE">
              <w:rPr>
                <w:rFonts w:asciiTheme="minorHAnsi" w:hAnsiTheme="minorHAnsi" w:cstheme="minorHAnsi"/>
                <w:sz w:val="22"/>
                <w:szCs w:val="22"/>
              </w:rPr>
              <w:t>20</w:t>
            </w:r>
          </w:p>
        </w:tc>
        <w:tc>
          <w:tcPr>
            <w:tcW w:w="1255" w:type="dxa"/>
          </w:tcPr>
          <w:p w14:paraId="7288260F" w14:textId="77777777" w:rsidR="006E7350" w:rsidRPr="00020FDE" w:rsidRDefault="006E7350" w:rsidP="0019040C">
            <w:pPr>
              <w:pStyle w:val="Default"/>
              <w:jc w:val="center"/>
              <w:rPr>
                <w:rFonts w:asciiTheme="minorHAnsi" w:hAnsiTheme="minorHAnsi" w:cstheme="minorHAnsi"/>
                <w:sz w:val="22"/>
                <w:szCs w:val="22"/>
              </w:rPr>
            </w:pPr>
          </w:p>
        </w:tc>
      </w:tr>
      <w:tr w:rsidR="00847E52" w:rsidRPr="00020FDE" w14:paraId="1A9C0A3C" w14:textId="77777777" w:rsidTr="00FD5524">
        <w:trPr>
          <w:trHeight w:val="494"/>
        </w:trPr>
        <w:tc>
          <w:tcPr>
            <w:tcW w:w="6948" w:type="dxa"/>
            <w:shd w:val="clear" w:color="auto" w:fill="auto"/>
          </w:tcPr>
          <w:p w14:paraId="6F0BB358" w14:textId="3A606B2C" w:rsidR="00847E52" w:rsidRPr="00020FDE" w:rsidRDefault="00FD5524" w:rsidP="00020FDE">
            <w:p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A comprehensive knowledge of Malawi or related Government policy /programs design context.</w:t>
            </w:r>
          </w:p>
        </w:tc>
        <w:tc>
          <w:tcPr>
            <w:tcW w:w="810" w:type="dxa"/>
            <w:shd w:val="clear" w:color="auto" w:fill="auto"/>
          </w:tcPr>
          <w:p w14:paraId="2EEC17C7" w14:textId="25E718DF" w:rsidR="00847E52" w:rsidRPr="00020FDE" w:rsidRDefault="00511CCF" w:rsidP="0019040C">
            <w:pPr>
              <w:pStyle w:val="Default"/>
              <w:jc w:val="center"/>
              <w:rPr>
                <w:rFonts w:asciiTheme="minorHAnsi" w:hAnsiTheme="minorHAnsi" w:cstheme="minorHAnsi"/>
                <w:sz w:val="22"/>
                <w:szCs w:val="22"/>
              </w:rPr>
            </w:pPr>
            <w:r w:rsidRPr="00020FDE">
              <w:rPr>
                <w:rFonts w:asciiTheme="minorHAnsi" w:hAnsiTheme="minorHAnsi" w:cstheme="minorHAnsi"/>
                <w:sz w:val="22"/>
                <w:szCs w:val="22"/>
              </w:rPr>
              <w:t>1</w:t>
            </w:r>
            <w:r w:rsidR="00FD5524" w:rsidRPr="00020FDE">
              <w:rPr>
                <w:rFonts w:asciiTheme="minorHAnsi" w:hAnsiTheme="minorHAnsi" w:cstheme="minorHAnsi"/>
                <w:sz w:val="22"/>
                <w:szCs w:val="22"/>
              </w:rPr>
              <w:t>5</w:t>
            </w:r>
          </w:p>
        </w:tc>
        <w:tc>
          <w:tcPr>
            <w:tcW w:w="1255" w:type="dxa"/>
          </w:tcPr>
          <w:p w14:paraId="3258FAD8" w14:textId="77777777" w:rsidR="00847E52" w:rsidRPr="00020FDE" w:rsidRDefault="00847E52" w:rsidP="0019040C">
            <w:pPr>
              <w:pStyle w:val="Default"/>
              <w:jc w:val="center"/>
              <w:rPr>
                <w:rFonts w:asciiTheme="minorHAnsi" w:hAnsiTheme="minorHAnsi" w:cstheme="minorHAnsi"/>
                <w:sz w:val="22"/>
                <w:szCs w:val="22"/>
              </w:rPr>
            </w:pPr>
          </w:p>
        </w:tc>
      </w:tr>
      <w:tr w:rsidR="00847E52" w:rsidRPr="00020FDE" w14:paraId="0FEB6D9E" w14:textId="77777777" w:rsidTr="00FD5524">
        <w:trPr>
          <w:trHeight w:val="494"/>
        </w:trPr>
        <w:tc>
          <w:tcPr>
            <w:tcW w:w="6948" w:type="dxa"/>
            <w:shd w:val="clear" w:color="auto" w:fill="auto"/>
          </w:tcPr>
          <w:p w14:paraId="749DAAD2" w14:textId="293F2CFA" w:rsidR="00847E52" w:rsidRPr="00020FDE" w:rsidRDefault="00FD5524" w:rsidP="00FD5524">
            <w:p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 xml:space="preserve">At least </w:t>
            </w:r>
            <w:r w:rsidR="001440D4">
              <w:rPr>
                <w:rFonts w:asciiTheme="minorHAnsi" w:hAnsiTheme="minorHAnsi" w:cstheme="minorHAnsi"/>
              </w:rPr>
              <w:t>5</w:t>
            </w:r>
            <w:r w:rsidRPr="00020FDE">
              <w:rPr>
                <w:rFonts w:asciiTheme="minorHAnsi" w:hAnsiTheme="minorHAnsi" w:cstheme="minorHAnsi"/>
              </w:rPr>
              <w:t xml:space="preserve"> years of previous experience on development of a Capacity Development strategy and results framework for Government institutions or bi-lateral partners will be an advantage.</w:t>
            </w:r>
          </w:p>
        </w:tc>
        <w:tc>
          <w:tcPr>
            <w:tcW w:w="810" w:type="dxa"/>
            <w:shd w:val="clear" w:color="auto" w:fill="auto"/>
          </w:tcPr>
          <w:p w14:paraId="5FAF4162" w14:textId="6FEB469C" w:rsidR="00847E52" w:rsidRPr="00020FDE" w:rsidRDefault="00FD5524" w:rsidP="0019040C">
            <w:pPr>
              <w:pStyle w:val="Default"/>
              <w:jc w:val="center"/>
              <w:rPr>
                <w:rFonts w:asciiTheme="minorHAnsi" w:hAnsiTheme="minorHAnsi" w:cstheme="minorHAnsi"/>
                <w:sz w:val="22"/>
                <w:szCs w:val="22"/>
              </w:rPr>
            </w:pPr>
            <w:r w:rsidRPr="00020FDE">
              <w:rPr>
                <w:rFonts w:asciiTheme="minorHAnsi" w:hAnsiTheme="minorHAnsi" w:cstheme="minorHAnsi"/>
                <w:sz w:val="22"/>
                <w:szCs w:val="22"/>
              </w:rPr>
              <w:t>20</w:t>
            </w:r>
          </w:p>
        </w:tc>
        <w:tc>
          <w:tcPr>
            <w:tcW w:w="1255" w:type="dxa"/>
          </w:tcPr>
          <w:p w14:paraId="616C399F" w14:textId="77777777" w:rsidR="00847E52" w:rsidRPr="00020FDE" w:rsidRDefault="00847E52" w:rsidP="0019040C">
            <w:pPr>
              <w:pStyle w:val="Default"/>
              <w:jc w:val="center"/>
              <w:rPr>
                <w:rFonts w:asciiTheme="minorHAnsi" w:hAnsiTheme="minorHAnsi" w:cstheme="minorHAnsi"/>
                <w:sz w:val="22"/>
                <w:szCs w:val="22"/>
              </w:rPr>
            </w:pPr>
          </w:p>
        </w:tc>
      </w:tr>
      <w:tr w:rsidR="00FD5524" w:rsidRPr="00020FDE" w14:paraId="1230CE82" w14:textId="77777777" w:rsidTr="00FD5524">
        <w:trPr>
          <w:trHeight w:val="294"/>
        </w:trPr>
        <w:tc>
          <w:tcPr>
            <w:tcW w:w="6948" w:type="dxa"/>
            <w:shd w:val="clear" w:color="auto" w:fill="auto"/>
          </w:tcPr>
          <w:p w14:paraId="5980D130" w14:textId="12826494" w:rsidR="00FD5524" w:rsidRPr="00020FDE" w:rsidRDefault="00FD5524" w:rsidP="00FD5524">
            <w:p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b/>
                <w:color w:val="000000"/>
                <w:lang w:val="en-AU"/>
              </w:rPr>
              <w:t>Competencies</w:t>
            </w:r>
          </w:p>
        </w:tc>
        <w:tc>
          <w:tcPr>
            <w:tcW w:w="810" w:type="dxa"/>
            <w:shd w:val="clear" w:color="auto" w:fill="auto"/>
          </w:tcPr>
          <w:p w14:paraId="3DE60E26" w14:textId="77777777" w:rsidR="00FD5524" w:rsidRPr="00020FDE" w:rsidRDefault="00FD5524" w:rsidP="0019040C">
            <w:pPr>
              <w:pStyle w:val="Default"/>
              <w:jc w:val="center"/>
              <w:rPr>
                <w:rFonts w:asciiTheme="minorHAnsi" w:hAnsiTheme="minorHAnsi" w:cstheme="minorHAnsi"/>
                <w:sz w:val="22"/>
                <w:szCs w:val="22"/>
              </w:rPr>
            </w:pPr>
          </w:p>
        </w:tc>
        <w:tc>
          <w:tcPr>
            <w:tcW w:w="1255" w:type="dxa"/>
          </w:tcPr>
          <w:p w14:paraId="3DB98BB1" w14:textId="3F90806F" w:rsidR="00FD5524" w:rsidRPr="00020FDE" w:rsidRDefault="00FD5524" w:rsidP="0019040C">
            <w:pPr>
              <w:pStyle w:val="Default"/>
              <w:jc w:val="center"/>
              <w:rPr>
                <w:rFonts w:asciiTheme="minorHAnsi" w:hAnsiTheme="minorHAnsi" w:cstheme="minorHAnsi"/>
                <w:b/>
                <w:bCs/>
                <w:sz w:val="22"/>
                <w:szCs w:val="22"/>
              </w:rPr>
            </w:pPr>
            <w:r w:rsidRPr="00020FDE">
              <w:rPr>
                <w:rFonts w:asciiTheme="minorHAnsi" w:hAnsiTheme="minorHAnsi" w:cstheme="minorHAnsi"/>
                <w:b/>
                <w:bCs/>
                <w:sz w:val="22"/>
                <w:szCs w:val="22"/>
              </w:rPr>
              <w:t>5%</w:t>
            </w:r>
          </w:p>
        </w:tc>
      </w:tr>
      <w:tr w:rsidR="00FD5524" w:rsidRPr="00020FDE" w14:paraId="31D779CD" w14:textId="77777777" w:rsidTr="00FD5524">
        <w:trPr>
          <w:trHeight w:val="494"/>
        </w:trPr>
        <w:tc>
          <w:tcPr>
            <w:tcW w:w="6948" w:type="dxa"/>
            <w:shd w:val="clear" w:color="auto" w:fill="auto"/>
          </w:tcPr>
          <w:p w14:paraId="339FEC6E" w14:textId="77777777" w:rsidR="00FD5524" w:rsidRPr="00020FDE" w:rsidRDefault="00FD5524" w:rsidP="00FD5524">
            <w:pPr>
              <w:pStyle w:val="ListParagraph"/>
              <w:numPr>
                <w:ilvl w:val="0"/>
                <w:numId w:val="26"/>
              </w:num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Fluent in English.</w:t>
            </w:r>
          </w:p>
          <w:p w14:paraId="193E097D" w14:textId="77777777" w:rsidR="00FD5524" w:rsidRPr="00020FDE" w:rsidRDefault="00FD5524" w:rsidP="00FD5524">
            <w:pPr>
              <w:pStyle w:val="ListParagraph"/>
              <w:numPr>
                <w:ilvl w:val="0"/>
                <w:numId w:val="26"/>
              </w:numPr>
              <w:autoSpaceDE w:val="0"/>
              <w:autoSpaceDN w:val="0"/>
              <w:adjustRightInd w:val="0"/>
              <w:spacing w:after="0" w:line="259" w:lineRule="auto"/>
              <w:rPr>
                <w:rFonts w:asciiTheme="minorHAnsi" w:hAnsiTheme="minorHAnsi" w:cstheme="minorHAnsi"/>
              </w:rPr>
            </w:pPr>
            <w:r w:rsidRPr="00020FDE">
              <w:rPr>
                <w:rFonts w:asciiTheme="minorHAnsi" w:hAnsiTheme="minorHAnsi" w:cstheme="minorHAnsi"/>
              </w:rPr>
              <w:t>Demonstrated innovative and “out-of-the-box” approach to capacity building.</w:t>
            </w:r>
          </w:p>
          <w:p w14:paraId="3B0A130B" w14:textId="77777777" w:rsidR="00FD5524" w:rsidRPr="00020FDE" w:rsidRDefault="00FD5524" w:rsidP="00FD5524">
            <w:pPr>
              <w:autoSpaceDE w:val="0"/>
              <w:autoSpaceDN w:val="0"/>
              <w:adjustRightInd w:val="0"/>
              <w:spacing w:after="0" w:line="259" w:lineRule="auto"/>
              <w:rPr>
                <w:rFonts w:asciiTheme="minorHAnsi" w:hAnsiTheme="minorHAnsi" w:cstheme="minorHAnsi"/>
              </w:rPr>
            </w:pPr>
          </w:p>
        </w:tc>
        <w:tc>
          <w:tcPr>
            <w:tcW w:w="810" w:type="dxa"/>
            <w:shd w:val="clear" w:color="auto" w:fill="auto"/>
          </w:tcPr>
          <w:p w14:paraId="4B64745A" w14:textId="77777777" w:rsidR="00FD5524" w:rsidRPr="00020FDE" w:rsidRDefault="00FD5524" w:rsidP="0019040C">
            <w:pPr>
              <w:pStyle w:val="Default"/>
              <w:jc w:val="center"/>
              <w:rPr>
                <w:rFonts w:asciiTheme="minorHAnsi" w:hAnsiTheme="minorHAnsi" w:cstheme="minorHAnsi"/>
                <w:sz w:val="22"/>
                <w:szCs w:val="22"/>
              </w:rPr>
            </w:pPr>
            <w:r w:rsidRPr="00020FDE">
              <w:rPr>
                <w:rFonts w:asciiTheme="minorHAnsi" w:hAnsiTheme="minorHAnsi" w:cstheme="minorHAnsi"/>
                <w:sz w:val="22"/>
                <w:szCs w:val="22"/>
              </w:rPr>
              <w:t>1</w:t>
            </w:r>
          </w:p>
          <w:p w14:paraId="0C895DFF" w14:textId="3E46C071" w:rsidR="00FD5524" w:rsidRPr="00020FDE" w:rsidRDefault="00FD5524" w:rsidP="0019040C">
            <w:pPr>
              <w:pStyle w:val="Default"/>
              <w:jc w:val="center"/>
              <w:rPr>
                <w:rFonts w:asciiTheme="minorHAnsi" w:hAnsiTheme="minorHAnsi" w:cstheme="minorHAnsi"/>
                <w:sz w:val="22"/>
                <w:szCs w:val="22"/>
              </w:rPr>
            </w:pPr>
            <w:r w:rsidRPr="00020FDE">
              <w:rPr>
                <w:rFonts w:asciiTheme="minorHAnsi" w:hAnsiTheme="minorHAnsi" w:cstheme="minorHAnsi"/>
                <w:sz w:val="22"/>
                <w:szCs w:val="22"/>
              </w:rPr>
              <w:t>4</w:t>
            </w:r>
          </w:p>
        </w:tc>
        <w:tc>
          <w:tcPr>
            <w:tcW w:w="1255" w:type="dxa"/>
          </w:tcPr>
          <w:p w14:paraId="0CE7C0AE" w14:textId="77777777" w:rsidR="00FD5524" w:rsidRPr="00020FDE" w:rsidRDefault="00FD5524" w:rsidP="0019040C">
            <w:pPr>
              <w:pStyle w:val="Default"/>
              <w:jc w:val="center"/>
              <w:rPr>
                <w:rFonts w:asciiTheme="minorHAnsi" w:hAnsiTheme="minorHAnsi" w:cstheme="minorHAnsi"/>
                <w:sz w:val="22"/>
                <w:szCs w:val="22"/>
              </w:rPr>
            </w:pPr>
          </w:p>
        </w:tc>
      </w:tr>
      <w:tr w:rsidR="006E7350" w:rsidRPr="00020FDE" w14:paraId="2C53892B" w14:textId="77777777" w:rsidTr="00FD5524">
        <w:tc>
          <w:tcPr>
            <w:tcW w:w="6948" w:type="dxa"/>
            <w:shd w:val="clear" w:color="auto" w:fill="auto"/>
          </w:tcPr>
          <w:p w14:paraId="2C0931C1" w14:textId="77777777" w:rsidR="006E7350" w:rsidRPr="00020FDE" w:rsidRDefault="006E7350" w:rsidP="0019040C">
            <w:pPr>
              <w:pStyle w:val="Default"/>
              <w:jc w:val="both"/>
              <w:rPr>
                <w:rFonts w:asciiTheme="minorHAnsi" w:eastAsia="Arial Unicode MS" w:hAnsiTheme="minorHAnsi" w:cstheme="minorHAnsi"/>
                <w:sz w:val="22"/>
                <w:szCs w:val="22"/>
              </w:rPr>
            </w:pPr>
            <w:r w:rsidRPr="00020FDE">
              <w:rPr>
                <w:rFonts w:asciiTheme="minorHAnsi" w:hAnsiTheme="minorHAnsi" w:cstheme="minorHAnsi"/>
                <w:b/>
                <w:sz w:val="22"/>
                <w:szCs w:val="22"/>
              </w:rPr>
              <w:t>Technical Criteria</w:t>
            </w:r>
          </w:p>
        </w:tc>
        <w:tc>
          <w:tcPr>
            <w:tcW w:w="810" w:type="dxa"/>
            <w:shd w:val="clear" w:color="auto" w:fill="auto"/>
          </w:tcPr>
          <w:p w14:paraId="77C68B9B" w14:textId="77777777" w:rsidR="006E7350" w:rsidRPr="00020FDE" w:rsidRDefault="006E7350" w:rsidP="0019040C">
            <w:pPr>
              <w:pStyle w:val="Default"/>
              <w:jc w:val="center"/>
              <w:rPr>
                <w:rFonts w:asciiTheme="minorHAnsi" w:hAnsiTheme="minorHAnsi" w:cstheme="minorHAnsi"/>
                <w:sz w:val="22"/>
                <w:szCs w:val="22"/>
              </w:rPr>
            </w:pPr>
          </w:p>
        </w:tc>
        <w:tc>
          <w:tcPr>
            <w:tcW w:w="1255" w:type="dxa"/>
          </w:tcPr>
          <w:p w14:paraId="16E6B8FD" w14:textId="77777777" w:rsidR="006E7350" w:rsidRPr="00020FDE" w:rsidRDefault="006E7350" w:rsidP="0019040C">
            <w:pPr>
              <w:pStyle w:val="Default"/>
              <w:jc w:val="center"/>
              <w:rPr>
                <w:rFonts w:asciiTheme="minorHAnsi" w:hAnsiTheme="minorHAnsi" w:cstheme="minorHAnsi"/>
                <w:sz w:val="22"/>
                <w:szCs w:val="22"/>
              </w:rPr>
            </w:pPr>
            <w:r w:rsidRPr="00020FDE">
              <w:rPr>
                <w:rFonts w:asciiTheme="minorHAnsi" w:hAnsiTheme="minorHAnsi" w:cstheme="minorHAnsi"/>
                <w:sz w:val="22"/>
                <w:szCs w:val="22"/>
              </w:rPr>
              <w:t>70%</w:t>
            </w:r>
          </w:p>
        </w:tc>
      </w:tr>
      <w:tr w:rsidR="006E7350" w:rsidRPr="00020FDE" w14:paraId="607012EF" w14:textId="77777777" w:rsidTr="00FD5524">
        <w:tc>
          <w:tcPr>
            <w:tcW w:w="6948" w:type="dxa"/>
            <w:shd w:val="clear" w:color="auto" w:fill="auto"/>
          </w:tcPr>
          <w:p w14:paraId="1BC2067F" w14:textId="06FE50AE" w:rsidR="006E7350" w:rsidRPr="00020FDE" w:rsidRDefault="006E7350" w:rsidP="0019040C">
            <w:pPr>
              <w:pStyle w:val="Default"/>
              <w:jc w:val="both"/>
              <w:rPr>
                <w:rFonts w:asciiTheme="minorHAnsi" w:hAnsiTheme="minorHAnsi" w:cstheme="minorHAnsi"/>
                <w:b/>
                <w:sz w:val="22"/>
                <w:szCs w:val="22"/>
              </w:rPr>
            </w:pPr>
            <w:r w:rsidRPr="00020FDE">
              <w:rPr>
                <w:rFonts w:asciiTheme="minorHAnsi" w:hAnsiTheme="minorHAnsi" w:cstheme="minorHAnsi"/>
                <w:sz w:val="22"/>
                <w:szCs w:val="22"/>
              </w:rPr>
              <w:t xml:space="preserve">**If </w:t>
            </w:r>
            <w:r w:rsidR="001440D4" w:rsidRPr="00020FDE">
              <w:rPr>
                <w:rFonts w:asciiTheme="minorHAnsi" w:hAnsiTheme="minorHAnsi" w:cstheme="minorHAnsi"/>
                <w:sz w:val="22"/>
                <w:szCs w:val="22"/>
              </w:rPr>
              <w:t>necessary,</w:t>
            </w:r>
            <w:r w:rsidRPr="00020FDE">
              <w:rPr>
                <w:rFonts w:asciiTheme="minorHAnsi" w:hAnsiTheme="minorHAnsi" w:cstheme="minorHAnsi"/>
                <w:sz w:val="22"/>
                <w:szCs w:val="22"/>
              </w:rPr>
              <w:t xml:space="preserve"> interviews shall also be conducted as part of the technical evaluation to ascertain best value for money.  </w:t>
            </w:r>
          </w:p>
        </w:tc>
        <w:tc>
          <w:tcPr>
            <w:tcW w:w="810" w:type="dxa"/>
            <w:shd w:val="clear" w:color="auto" w:fill="auto"/>
          </w:tcPr>
          <w:p w14:paraId="7D8001BC" w14:textId="77777777" w:rsidR="006E7350" w:rsidRPr="00020FDE" w:rsidRDefault="006E7350" w:rsidP="0019040C">
            <w:pPr>
              <w:pStyle w:val="Default"/>
              <w:jc w:val="center"/>
              <w:rPr>
                <w:rFonts w:asciiTheme="minorHAnsi" w:hAnsiTheme="minorHAnsi" w:cstheme="minorHAnsi"/>
                <w:sz w:val="22"/>
                <w:szCs w:val="22"/>
              </w:rPr>
            </w:pPr>
          </w:p>
        </w:tc>
        <w:tc>
          <w:tcPr>
            <w:tcW w:w="1255" w:type="dxa"/>
          </w:tcPr>
          <w:p w14:paraId="32CF9411" w14:textId="77777777" w:rsidR="006E7350" w:rsidRPr="00020FDE" w:rsidRDefault="006E7350" w:rsidP="0019040C">
            <w:pPr>
              <w:pStyle w:val="Default"/>
              <w:jc w:val="center"/>
              <w:rPr>
                <w:rFonts w:asciiTheme="minorHAnsi" w:hAnsiTheme="minorHAnsi" w:cstheme="minorHAnsi"/>
                <w:sz w:val="22"/>
                <w:szCs w:val="22"/>
              </w:rPr>
            </w:pPr>
          </w:p>
        </w:tc>
      </w:tr>
      <w:tr w:rsidR="006E7350" w:rsidRPr="00020FDE" w14:paraId="25CB1A51" w14:textId="77777777" w:rsidTr="00FD5524">
        <w:tc>
          <w:tcPr>
            <w:tcW w:w="6948" w:type="dxa"/>
            <w:shd w:val="clear" w:color="auto" w:fill="auto"/>
          </w:tcPr>
          <w:p w14:paraId="469354F5" w14:textId="77777777" w:rsidR="006E7350" w:rsidRPr="00020FDE" w:rsidRDefault="006E7350" w:rsidP="0019040C">
            <w:pPr>
              <w:pStyle w:val="Default"/>
              <w:jc w:val="both"/>
              <w:rPr>
                <w:rFonts w:asciiTheme="minorHAnsi" w:eastAsia="Arial Unicode MS" w:hAnsiTheme="minorHAnsi" w:cstheme="minorHAnsi"/>
                <w:b/>
                <w:sz w:val="22"/>
                <w:szCs w:val="22"/>
              </w:rPr>
            </w:pPr>
            <w:r w:rsidRPr="00020FDE">
              <w:rPr>
                <w:rFonts w:asciiTheme="minorHAnsi" w:eastAsia="Arial Unicode MS" w:hAnsiTheme="minorHAnsi" w:cstheme="minorHAnsi"/>
                <w:b/>
                <w:sz w:val="22"/>
                <w:szCs w:val="22"/>
              </w:rPr>
              <w:t>Financial Criteria – Lowest Price</w:t>
            </w:r>
          </w:p>
        </w:tc>
        <w:tc>
          <w:tcPr>
            <w:tcW w:w="810" w:type="dxa"/>
            <w:shd w:val="clear" w:color="auto" w:fill="auto"/>
          </w:tcPr>
          <w:p w14:paraId="1D2F17B1" w14:textId="77777777" w:rsidR="006E7350" w:rsidRPr="00020FDE" w:rsidRDefault="006E7350" w:rsidP="0019040C">
            <w:pPr>
              <w:pStyle w:val="Default"/>
              <w:jc w:val="center"/>
              <w:rPr>
                <w:rFonts w:asciiTheme="minorHAnsi" w:hAnsiTheme="minorHAnsi" w:cstheme="minorHAnsi"/>
                <w:sz w:val="22"/>
                <w:szCs w:val="22"/>
              </w:rPr>
            </w:pPr>
          </w:p>
        </w:tc>
        <w:tc>
          <w:tcPr>
            <w:tcW w:w="1255" w:type="dxa"/>
          </w:tcPr>
          <w:p w14:paraId="32ACAF3A" w14:textId="77777777" w:rsidR="006E7350" w:rsidRPr="00020FDE" w:rsidRDefault="006E7350" w:rsidP="0019040C">
            <w:pPr>
              <w:pStyle w:val="Default"/>
              <w:jc w:val="center"/>
              <w:rPr>
                <w:rFonts w:asciiTheme="minorHAnsi" w:hAnsiTheme="minorHAnsi" w:cstheme="minorHAnsi"/>
                <w:sz w:val="22"/>
                <w:szCs w:val="22"/>
              </w:rPr>
            </w:pPr>
            <w:r w:rsidRPr="00020FDE">
              <w:rPr>
                <w:rFonts w:asciiTheme="minorHAnsi" w:hAnsiTheme="minorHAnsi" w:cstheme="minorHAnsi"/>
                <w:sz w:val="22"/>
                <w:szCs w:val="22"/>
              </w:rPr>
              <w:t>30%</w:t>
            </w:r>
          </w:p>
        </w:tc>
      </w:tr>
      <w:tr w:rsidR="006E7350" w:rsidRPr="00020FDE" w14:paraId="7FAAF713" w14:textId="77777777" w:rsidTr="00FD5524">
        <w:tc>
          <w:tcPr>
            <w:tcW w:w="6948" w:type="dxa"/>
            <w:shd w:val="clear" w:color="auto" w:fill="auto"/>
          </w:tcPr>
          <w:p w14:paraId="7BBD4B85" w14:textId="77777777" w:rsidR="006E7350" w:rsidRPr="00020FDE" w:rsidRDefault="006E7350" w:rsidP="0019040C">
            <w:pPr>
              <w:pStyle w:val="Default"/>
              <w:jc w:val="both"/>
              <w:rPr>
                <w:rFonts w:asciiTheme="minorHAnsi" w:eastAsia="Arial Unicode MS" w:hAnsiTheme="minorHAnsi" w:cstheme="minorHAnsi"/>
                <w:b/>
                <w:sz w:val="22"/>
                <w:szCs w:val="22"/>
              </w:rPr>
            </w:pPr>
            <w:r w:rsidRPr="00020FDE">
              <w:rPr>
                <w:rFonts w:asciiTheme="minorHAnsi" w:eastAsia="Arial Unicode MS" w:hAnsiTheme="minorHAnsi" w:cstheme="minorHAnsi"/>
                <w:b/>
                <w:sz w:val="22"/>
                <w:szCs w:val="22"/>
              </w:rPr>
              <w:t>Total</w:t>
            </w:r>
          </w:p>
        </w:tc>
        <w:tc>
          <w:tcPr>
            <w:tcW w:w="810" w:type="dxa"/>
            <w:shd w:val="clear" w:color="auto" w:fill="auto"/>
          </w:tcPr>
          <w:p w14:paraId="28073311" w14:textId="77777777" w:rsidR="006E7350" w:rsidRPr="00020FDE" w:rsidRDefault="006E7350" w:rsidP="0019040C">
            <w:pPr>
              <w:pStyle w:val="Default"/>
              <w:jc w:val="center"/>
              <w:rPr>
                <w:rFonts w:asciiTheme="minorHAnsi" w:hAnsiTheme="minorHAnsi" w:cstheme="minorHAnsi"/>
                <w:b/>
                <w:sz w:val="22"/>
                <w:szCs w:val="22"/>
              </w:rPr>
            </w:pPr>
          </w:p>
        </w:tc>
        <w:tc>
          <w:tcPr>
            <w:tcW w:w="1255" w:type="dxa"/>
          </w:tcPr>
          <w:p w14:paraId="373ECF7E" w14:textId="77777777" w:rsidR="006E7350" w:rsidRPr="00020FDE" w:rsidRDefault="006E7350" w:rsidP="0019040C">
            <w:pPr>
              <w:pStyle w:val="Default"/>
              <w:jc w:val="center"/>
              <w:rPr>
                <w:rFonts w:asciiTheme="minorHAnsi" w:hAnsiTheme="minorHAnsi" w:cstheme="minorHAnsi"/>
                <w:b/>
                <w:sz w:val="22"/>
                <w:szCs w:val="22"/>
              </w:rPr>
            </w:pPr>
            <w:r w:rsidRPr="00020FDE">
              <w:rPr>
                <w:rFonts w:asciiTheme="minorHAnsi" w:hAnsiTheme="minorHAnsi" w:cstheme="minorHAnsi"/>
                <w:b/>
                <w:sz w:val="22"/>
                <w:szCs w:val="22"/>
              </w:rPr>
              <w:t>100%</w:t>
            </w:r>
          </w:p>
        </w:tc>
      </w:tr>
    </w:tbl>
    <w:p w14:paraId="5CD5A017" w14:textId="77777777" w:rsidR="006E7350" w:rsidRPr="00020FDE" w:rsidRDefault="006E7350" w:rsidP="006E7350">
      <w:pPr>
        <w:autoSpaceDE w:val="0"/>
        <w:autoSpaceDN w:val="0"/>
        <w:adjustRightInd w:val="0"/>
        <w:rPr>
          <w:rFonts w:asciiTheme="minorHAnsi" w:eastAsia="SymbolMT" w:hAnsiTheme="minorHAnsi" w:cstheme="minorHAnsi"/>
          <w:b/>
        </w:rPr>
      </w:pPr>
      <w:r w:rsidRPr="00020FDE">
        <w:rPr>
          <w:rFonts w:asciiTheme="minorHAnsi" w:eastAsia="SymbolMT" w:hAnsiTheme="minorHAnsi" w:cstheme="minorHAnsi"/>
          <w:b/>
        </w:rPr>
        <w:lastRenderedPageBreak/>
        <w:br/>
        <w:t>Documents to be included when submitting Consultancy Proposals</w:t>
      </w:r>
    </w:p>
    <w:p w14:paraId="0A6B8CDE" w14:textId="77777777" w:rsidR="006E7350" w:rsidRPr="00020FDE" w:rsidRDefault="006E7350" w:rsidP="006E7350">
      <w:pPr>
        <w:pStyle w:val="p28"/>
        <w:tabs>
          <w:tab w:val="clear" w:pos="680"/>
          <w:tab w:val="clear" w:pos="1060"/>
        </w:tabs>
        <w:spacing w:line="240" w:lineRule="auto"/>
        <w:ind w:left="0" w:firstLine="0"/>
        <w:jc w:val="both"/>
        <w:rPr>
          <w:rFonts w:asciiTheme="minorHAnsi" w:hAnsiTheme="minorHAnsi" w:cstheme="minorHAnsi"/>
          <w:sz w:val="22"/>
          <w:szCs w:val="22"/>
        </w:rPr>
      </w:pPr>
      <w:r w:rsidRPr="00020FDE">
        <w:rPr>
          <w:rFonts w:asciiTheme="minorHAnsi" w:hAnsiTheme="minorHAnsi" w:cstheme="minorHAnsi"/>
          <w:sz w:val="22"/>
          <w:szCs w:val="22"/>
        </w:rPr>
        <w:t>The following documents may be requested:</w:t>
      </w:r>
    </w:p>
    <w:p w14:paraId="5B07D373" w14:textId="77777777" w:rsidR="006E7350" w:rsidRPr="00020FDE" w:rsidRDefault="006E7350" w:rsidP="006E7350">
      <w:pPr>
        <w:pStyle w:val="p28"/>
        <w:tabs>
          <w:tab w:val="clear" w:pos="680"/>
          <w:tab w:val="clear" w:pos="1060"/>
        </w:tabs>
        <w:spacing w:line="240" w:lineRule="auto"/>
        <w:ind w:left="540" w:firstLine="0"/>
        <w:jc w:val="both"/>
        <w:rPr>
          <w:rFonts w:asciiTheme="minorHAnsi" w:hAnsiTheme="minorHAnsi" w:cstheme="minorHAnsi"/>
          <w:sz w:val="22"/>
          <w:szCs w:val="22"/>
        </w:rPr>
      </w:pPr>
    </w:p>
    <w:p w14:paraId="5C506454" w14:textId="77777777" w:rsidR="00511CCF" w:rsidRPr="00020FDE" w:rsidRDefault="00511CCF" w:rsidP="003D2D79">
      <w:pPr>
        <w:pStyle w:val="ListParagraph"/>
        <w:numPr>
          <w:ilvl w:val="0"/>
          <w:numId w:val="2"/>
        </w:numPr>
        <w:spacing w:after="120" w:line="240" w:lineRule="auto"/>
        <w:jc w:val="both"/>
        <w:rPr>
          <w:rFonts w:asciiTheme="minorHAnsi" w:hAnsiTheme="minorHAnsi" w:cstheme="minorHAnsi"/>
        </w:rPr>
      </w:pPr>
      <w:r w:rsidRPr="00020FDE">
        <w:rPr>
          <w:rFonts w:asciiTheme="minorHAnsi" w:hAnsiTheme="minorHAnsi" w:cstheme="minorHAnsi"/>
        </w:rPr>
        <w:t>Explaining why they are the most suitable for the work</w:t>
      </w:r>
    </w:p>
    <w:p w14:paraId="6ED3ADF4" w14:textId="77777777" w:rsidR="00511CCF" w:rsidRPr="00020FDE" w:rsidRDefault="00511CCF" w:rsidP="003D2D79">
      <w:pPr>
        <w:pStyle w:val="ListParagraph"/>
        <w:numPr>
          <w:ilvl w:val="0"/>
          <w:numId w:val="2"/>
        </w:numPr>
        <w:spacing w:after="120" w:line="240" w:lineRule="auto"/>
        <w:jc w:val="both"/>
        <w:rPr>
          <w:rFonts w:asciiTheme="minorHAnsi" w:hAnsiTheme="minorHAnsi" w:cstheme="minorHAnsi"/>
        </w:rPr>
      </w:pPr>
      <w:r w:rsidRPr="00020FDE">
        <w:rPr>
          <w:rFonts w:asciiTheme="minorHAnsi" w:hAnsiTheme="minorHAnsi" w:cstheme="minorHAnsi"/>
        </w:rPr>
        <w:t>Provide a brief methodology on how they will approach and conduct the work</w:t>
      </w:r>
    </w:p>
    <w:p w14:paraId="2941C334" w14:textId="77777777" w:rsidR="00511CCF" w:rsidRPr="00020FDE" w:rsidRDefault="007D2891" w:rsidP="003D2D79">
      <w:pPr>
        <w:pStyle w:val="ListParagraph"/>
        <w:numPr>
          <w:ilvl w:val="0"/>
          <w:numId w:val="2"/>
        </w:numPr>
        <w:spacing w:after="120" w:line="240" w:lineRule="auto"/>
        <w:jc w:val="both"/>
        <w:rPr>
          <w:rFonts w:asciiTheme="minorHAnsi" w:hAnsiTheme="minorHAnsi" w:cstheme="minorHAnsi"/>
        </w:rPr>
      </w:pPr>
      <w:r w:rsidRPr="00020FDE">
        <w:rPr>
          <w:rFonts w:asciiTheme="minorHAnsi" w:hAnsiTheme="minorHAnsi" w:cstheme="minorHAnsi"/>
        </w:rPr>
        <w:t xml:space="preserve">Latest updated </w:t>
      </w:r>
      <w:r w:rsidR="0017756D" w:rsidRPr="00020FDE">
        <w:rPr>
          <w:rFonts w:asciiTheme="minorHAnsi" w:hAnsiTheme="minorHAnsi" w:cstheme="minorHAnsi"/>
        </w:rPr>
        <w:t>Cu</w:t>
      </w:r>
      <w:r w:rsidRPr="00020FDE">
        <w:rPr>
          <w:rFonts w:asciiTheme="minorHAnsi" w:hAnsiTheme="minorHAnsi" w:cstheme="minorHAnsi"/>
        </w:rPr>
        <w:t>rriculum vitae (CV) or Resume</w:t>
      </w:r>
      <w:r w:rsidR="00511CCF" w:rsidRPr="00020FDE">
        <w:rPr>
          <w:rFonts w:asciiTheme="minorHAnsi" w:hAnsiTheme="minorHAnsi" w:cstheme="minorHAnsi"/>
        </w:rPr>
        <w:t xml:space="preserve"> including past experience in similar projects and at least 3 references.</w:t>
      </w:r>
    </w:p>
    <w:p w14:paraId="6D676B9A" w14:textId="0956A60B" w:rsidR="00511CCF" w:rsidRPr="00020FDE" w:rsidRDefault="006E7350" w:rsidP="003D2D79">
      <w:pPr>
        <w:pStyle w:val="ListParagraph"/>
        <w:numPr>
          <w:ilvl w:val="0"/>
          <w:numId w:val="2"/>
        </w:numPr>
        <w:spacing w:after="120" w:line="240" w:lineRule="auto"/>
        <w:jc w:val="both"/>
        <w:rPr>
          <w:rStyle w:val="Hyperlink"/>
          <w:rFonts w:asciiTheme="minorHAnsi" w:hAnsiTheme="minorHAnsi" w:cstheme="minorHAnsi"/>
          <w:color w:val="auto"/>
          <w:u w:val="none"/>
        </w:rPr>
      </w:pPr>
      <w:r w:rsidRPr="00020FDE">
        <w:rPr>
          <w:rFonts w:asciiTheme="minorHAnsi" w:hAnsiTheme="minorHAnsi" w:cstheme="minorHAnsi"/>
        </w:rPr>
        <w:t xml:space="preserve">Duly executed </w:t>
      </w:r>
      <w:r w:rsidRPr="00020FDE">
        <w:rPr>
          <w:rFonts w:asciiTheme="minorHAnsi" w:hAnsiTheme="minorHAnsi" w:cstheme="minorHAnsi"/>
          <w:b/>
        </w:rPr>
        <w:t xml:space="preserve">Letter of Confirmation of Interest and Availability </w:t>
      </w:r>
      <w:r w:rsidRPr="00020FDE">
        <w:rPr>
          <w:rFonts w:asciiTheme="minorHAnsi" w:hAnsiTheme="minorHAnsi" w:cstheme="minorHAnsi"/>
        </w:rPr>
        <w:t xml:space="preserve">using the template provided by UNDP. </w:t>
      </w:r>
      <w:r w:rsidRPr="00020FDE">
        <w:rPr>
          <w:rFonts w:asciiTheme="minorHAnsi" w:hAnsiTheme="minorHAnsi" w:cstheme="minorHAnsi"/>
          <w:b/>
          <w:lang w:val="en-AU"/>
        </w:rPr>
        <w:t xml:space="preserve">Template of </w:t>
      </w:r>
      <w:r w:rsidRPr="00020FDE">
        <w:rPr>
          <w:rFonts w:asciiTheme="minorHAnsi" w:hAnsiTheme="minorHAnsi" w:cstheme="minorHAnsi"/>
          <w:b/>
        </w:rPr>
        <w:t xml:space="preserve">Letter of Confirmation of Interest and Availability can be accessible from this </w:t>
      </w:r>
      <w:hyperlink r:id="rId11" w:history="1">
        <w:r w:rsidRPr="00020FDE">
          <w:rPr>
            <w:rStyle w:val="Hyperlink"/>
            <w:rFonts w:asciiTheme="minorHAnsi" w:hAnsiTheme="minorHAnsi" w:cstheme="minorHAnsi"/>
            <w:b/>
          </w:rPr>
          <w:t>UN</w:t>
        </w:r>
        <w:r w:rsidR="00511CCF" w:rsidRPr="00020FDE">
          <w:rPr>
            <w:rStyle w:val="Hyperlink"/>
            <w:rFonts w:asciiTheme="minorHAnsi" w:hAnsiTheme="minorHAnsi" w:cstheme="minorHAnsi"/>
            <w:b/>
          </w:rPr>
          <w:t>DP Malawi</w:t>
        </w:r>
        <w:r w:rsidRPr="00020FDE">
          <w:rPr>
            <w:rStyle w:val="Hyperlink"/>
            <w:rFonts w:asciiTheme="minorHAnsi" w:hAnsiTheme="minorHAnsi" w:cstheme="minorHAnsi"/>
            <w:b/>
          </w:rPr>
          <w:t xml:space="preserve"> Procurement page</w:t>
        </w:r>
      </w:hyperlink>
    </w:p>
    <w:p w14:paraId="73BE8E66" w14:textId="33E82F32" w:rsidR="006E7350" w:rsidRPr="00020FDE" w:rsidRDefault="006E7350" w:rsidP="003D2D79">
      <w:pPr>
        <w:pStyle w:val="ListParagraph"/>
        <w:numPr>
          <w:ilvl w:val="0"/>
          <w:numId w:val="2"/>
        </w:numPr>
        <w:spacing w:after="120" w:line="240" w:lineRule="auto"/>
        <w:jc w:val="both"/>
        <w:rPr>
          <w:rFonts w:asciiTheme="minorHAnsi" w:hAnsiTheme="minorHAnsi" w:cstheme="minorHAnsi"/>
        </w:rPr>
      </w:pPr>
      <w:r w:rsidRPr="00020FDE">
        <w:rPr>
          <w:rFonts w:asciiTheme="minorHAnsi" w:hAnsiTheme="minorHAnsi" w:cstheme="minorHAnsi"/>
          <w:b/>
        </w:rPr>
        <w:t>Financial Proposal</w:t>
      </w:r>
      <w:r w:rsidRPr="00020FDE">
        <w:rPr>
          <w:rFonts w:asciiTheme="minorHAnsi" w:hAnsiTheme="minorHAnsi" w:cstheme="minorHAnsi"/>
        </w:rPr>
        <w:t xml:space="preserve"> that indicates the all-inclusive fixed total contract price, supported by a breakdown of costs, as per template provided.  If an Offeror is employed by an organization/company/institution, and he/she expects his/her employer to charge a management fee in the process of releasing him/her to UNDP under Reimbursable Loan Agreement (RLA), the Offeror must stipulate that arrangement at this point, and ensure that all such costs are duly incorporated in the financial proposal submitted to UNDP</w:t>
      </w:r>
      <w:r w:rsidRPr="00020FDE">
        <w:rPr>
          <w:rFonts w:asciiTheme="minorHAnsi" w:hAnsiTheme="minorHAnsi" w:cstheme="minorHAnsi"/>
          <w:color w:val="FF0000"/>
        </w:rPr>
        <w:t>.</w:t>
      </w:r>
    </w:p>
    <w:p w14:paraId="7069CA80" w14:textId="77777777" w:rsidR="006E7350" w:rsidRPr="00020FDE" w:rsidRDefault="006E7350" w:rsidP="006E7350">
      <w:pPr>
        <w:autoSpaceDE w:val="0"/>
        <w:autoSpaceDN w:val="0"/>
        <w:rPr>
          <w:rFonts w:asciiTheme="minorHAnsi" w:hAnsiTheme="minorHAnsi" w:cstheme="minorHAnsi"/>
          <w:b/>
        </w:rPr>
      </w:pPr>
      <w:r w:rsidRPr="00020FDE">
        <w:rPr>
          <w:rFonts w:asciiTheme="minorHAnsi" w:hAnsiTheme="minorHAnsi" w:cstheme="minorHAnsi"/>
          <w:b/>
        </w:rPr>
        <w:t>Lump-sum contracts</w:t>
      </w:r>
    </w:p>
    <w:p w14:paraId="258A7CA0" w14:textId="77777777" w:rsidR="006E7350" w:rsidRPr="00020FDE" w:rsidRDefault="006E7350" w:rsidP="006E7350">
      <w:pPr>
        <w:spacing w:line="288" w:lineRule="auto"/>
        <w:rPr>
          <w:rFonts w:asciiTheme="minorHAnsi" w:hAnsiTheme="minorHAnsi" w:cstheme="minorHAnsi"/>
        </w:rPr>
      </w:pPr>
      <w:r w:rsidRPr="00020FDE">
        <w:rPr>
          <w:rFonts w:asciiTheme="minorHAnsi" w:hAnsiTheme="minorHAnsi" w:cstheme="minorHAnsi"/>
        </w:rPr>
        <w:t xml:space="preserve">The financial proposal shall specify a total lump-sum amount, and payment terms around specific and measurable (qualitative and quantitative) deliverables (i.e. whether payments fall in instalments or upon completion of the entire contract). Payments are based upon output, i.e. upon delivery of the services specified in the TOR.  In order to assist the requesting unit in the comparison of financial proposals, the financial proposal will include a breakdown of this lump-sum amount (including travel, living expenses, and number of anticipated working days).  </w:t>
      </w:r>
    </w:p>
    <w:p w14:paraId="4CDBBDCC" w14:textId="77777777" w:rsidR="006E7350" w:rsidRPr="00020FDE" w:rsidRDefault="006E7350" w:rsidP="006E7350">
      <w:pPr>
        <w:spacing w:line="288" w:lineRule="auto"/>
        <w:rPr>
          <w:rFonts w:asciiTheme="minorHAnsi" w:hAnsiTheme="minorHAnsi" w:cstheme="minorHAnsi"/>
          <w:b/>
          <w:u w:val="single"/>
        </w:rPr>
      </w:pPr>
      <w:r w:rsidRPr="00020FDE">
        <w:rPr>
          <w:rFonts w:asciiTheme="minorHAnsi" w:hAnsiTheme="minorHAnsi" w:cstheme="minorHAnsi"/>
          <w:b/>
          <w:u w:val="single"/>
        </w:rPr>
        <w:t>Travel</w:t>
      </w:r>
    </w:p>
    <w:p w14:paraId="250D1360" w14:textId="780B68E2" w:rsidR="006E7350" w:rsidRPr="00020FDE" w:rsidRDefault="006E7350" w:rsidP="006E7350">
      <w:pPr>
        <w:spacing w:line="288" w:lineRule="auto"/>
        <w:rPr>
          <w:rFonts w:asciiTheme="minorHAnsi" w:hAnsiTheme="minorHAnsi" w:cstheme="minorHAnsi"/>
        </w:rPr>
      </w:pPr>
      <w:r w:rsidRPr="00020FDE">
        <w:rPr>
          <w:rFonts w:asciiTheme="minorHAnsi" w:hAnsiTheme="minorHAnsi" w:cstheme="minorHAnsi"/>
        </w:rPr>
        <w:t>In general, UNDP should not accept travel costs exceeding those of an economy return class ticket; should the IC wish to travel on a higher class, they should do so using their own resources.</w:t>
      </w:r>
    </w:p>
    <w:p w14:paraId="39EFE680" w14:textId="78AB4787" w:rsidR="003E7742" w:rsidRPr="00020FDE" w:rsidRDefault="006E7350" w:rsidP="00020FDE">
      <w:pPr>
        <w:jc w:val="both"/>
        <w:rPr>
          <w:rFonts w:asciiTheme="minorHAnsi" w:hAnsiTheme="minorHAnsi" w:cstheme="minorHAnsi"/>
        </w:rPr>
      </w:pPr>
      <w:r w:rsidRPr="00020FDE">
        <w:rPr>
          <w:rFonts w:asciiTheme="minorHAnsi" w:hAnsiTheme="minorHAnsi" w:cstheme="minorHAnsi"/>
        </w:rPr>
        <w:t>In the case of unforeseeable travel, payment of travel costs including tickets, lodging, and terminal expenses should be agreed upon, between the respective business unit and Individual Consultant, prior to travel and will be reimbursed.</w:t>
      </w:r>
    </w:p>
    <w:p w14:paraId="1E3C9E03" w14:textId="4AC7C624" w:rsidR="0017756D" w:rsidRPr="00020FDE" w:rsidRDefault="0017756D" w:rsidP="0017756D">
      <w:pPr>
        <w:widowControl w:val="0"/>
        <w:autoSpaceDE w:val="0"/>
        <w:autoSpaceDN w:val="0"/>
        <w:adjustRightInd w:val="0"/>
        <w:spacing w:after="240"/>
        <w:jc w:val="both"/>
        <w:outlineLvl w:val="0"/>
        <w:rPr>
          <w:rFonts w:asciiTheme="minorHAnsi" w:hAnsiTheme="minorHAnsi" w:cstheme="minorHAnsi"/>
          <w:b/>
          <w:bCs/>
          <w:color w:val="000000"/>
        </w:rPr>
      </w:pPr>
      <w:r w:rsidRPr="00020FDE">
        <w:rPr>
          <w:rFonts w:asciiTheme="minorHAnsi" w:hAnsiTheme="minorHAnsi" w:cstheme="minorHAnsi"/>
          <w:b/>
          <w:bCs/>
          <w:color w:val="000000"/>
        </w:rPr>
        <w:t>Submission Instructions</w:t>
      </w:r>
    </w:p>
    <w:p w14:paraId="16869808" w14:textId="0DA3A3C7" w:rsidR="0017756D" w:rsidRPr="00020FDE" w:rsidRDefault="0017756D" w:rsidP="0017756D">
      <w:pPr>
        <w:spacing w:before="100" w:beforeAutospacing="1" w:after="100" w:afterAutospacing="1"/>
        <w:jc w:val="both"/>
        <w:rPr>
          <w:rFonts w:asciiTheme="minorHAnsi" w:hAnsiTheme="minorHAnsi" w:cstheme="minorHAnsi"/>
        </w:rPr>
      </w:pPr>
      <w:r w:rsidRPr="00020FDE">
        <w:rPr>
          <w:rFonts w:asciiTheme="minorHAnsi" w:hAnsiTheme="minorHAnsi" w:cstheme="minorHAnsi"/>
        </w:rPr>
        <w:t xml:space="preserve">Proposals may be submitted on or before the deadline as indicated below. Proposals must be submitted using this generic email </w:t>
      </w:r>
      <w:hyperlink r:id="rId12" w:history="1">
        <w:r w:rsidR="00FE3789" w:rsidRPr="005B0045">
          <w:rPr>
            <w:rStyle w:val="Hyperlink"/>
            <w:rFonts w:asciiTheme="minorHAnsi" w:hAnsiTheme="minorHAnsi" w:cstheme="minorHAnsi"/>
          </w:rPr>
          <w:t>etenderbox.mw@undp.org</w:t>
        </w:r>
      </w:hyperlink>
      <w:r w:rsidR="00FE3789">
        <w:rPr>
          <w:rFonts w:asciiTheme="minorHAnsi" w:hAnsiTheme="minorHAnsi" w:cstheme="minorHAnsi"/>
        </w:rPr>
        <w:t xml:space="preserve"> OR </w:t>
      </w:r>
      <w:hyperlink r:id="rId13" w:history="1">
        <w:r w:rsidR="009C3F83" w:rsidRPr="00247078">
          <w:rPr>
            <w:rStyle w:val="Hyperlink"/>
          </w:rPr>
          <w:t>procurement.mw@undp.org</w:t>
        </w:r>
      </w:hyperlink>
      <w:r w:rsidR="009C3F83">
        <w:t xml:space="preserve"> </w:t>
      </w:r>
      <w:r w:rsidRPr="00020FDE">
        <w:rPr>
          <w:rFonts w:asciiTheme="minorHAnsi" w:hAnsiTheme="minorHAnsi" w:cstheme="minorHAnsi"/>
        </w:rPr>
        <w:t xml:space="preserve"> </w:t>
      </w:r>
      <w:r w:rsidR="00511CCF" w:rsidRPr="00020FDE">
        <w:rPr>
          <w:rFonts w:asciiTheme="minorHAnsi" w:hAnsiTheme="minorHAnsi" w:cstheme="minorHAnsi"/>
          <w:b/>
          <w:bCs/>
        </w:rPr>
        <w:t xml:space="preserve">with the Mandatory email subject: </w:t>
      </w:r>
      <w:r w:rsidR="00020FDE" w:rsidRPr="00020FDE">
        <w:rPr>
          <w:rFonts w:asciiTheme="minorHAnsi" w:hAnsiTheme="minorHAnsi" w:cstheme="minorHAnsi"/>
          <w:b/>
          <w:bCs/>
        </w:rPr>
        <w:t xml:space="preserve">Individual Consultant to conduct Foresight Capacity Needs Assessment and Capacity Building Strategy for the Economic Planning, Development and Public Sector Reforms and United Nations Development Program (UNDP) Malawi - IC/MWI/009-2021 </w:t>
      </w:r>
      <w:r w:rsidR="00511CCF" w:rsidRPr="00020FDE">
        <w:rPr>
          <w:rFonts w:asciiTheme="minorHAnsi" w:hAnsiTheme="minorHAnsi" w:cstheme="minorHAnsi"/>
          <w:b/>
          <w:bCs/>
        </w:rPr>
        <w:t xml:space="preserve">(bids will not be considered, if failed to adhere to this instruction) </w:t>
      </w:r>
      <w:r w:rsidRPr="00020FDE">
        <w:rPr>
          <w:rFonts w:asciiTheme="minorHAnsi" w:hAnsiTheme="minorHAnsi" w:cstheme="minorHAnsi"/>
        </w:rPr>
        <w:t>address only.</w:t>
      </w:r>
    </w:p>
    <w:p w14:paraId="788440FD" w14:textId="22D2B20E" w:rsidR="0017756D" w:rsidRPr="00020FDE" w:rsidRDefault="0017756D" w:rsidP="0017756D">
      <w:pPr>
        <w:spacing w:line="288" w:lineRule="auto"/>
        <w:jc w:val="both"/>
        <w:rPr>
          <w:rFonts w:asciiTheme="minorHAnsi" w:hAnsiTheme="minorHAnsi" w:cstheme="minorHAnsi"/>
        </w:rPr>
      </w:pPr>
      <w:r w:rsidRPr="00020FDE">
        <w:rPr>
          <w:rFonts w:asciiTheme="minorHAnsi" w:hAnsiTheme="minorHAnsi" w:cstheme="minorHAnsi"/>
        </w:rPr>
        <w:t>Incomplete proposals and failure to comply with proposal submission instruction may not be considered or may result in disqualification of proposal.</w:t>
      </w:r>
    </w:p>
    <w:p w14:paraId="0F7C1F9C" w14:textId="62F7A05A" w:rsidR="0017756D" w:rsidRPr="00020FDE" w:rsidRDefault="0017756D" w:rsidP="0017756D">
      <w:pPr>
        <w:jc w:val="both"/>
        <w:rPr>
          <w:rFonts w:asciiTheme="minorHAnsi" w:hAnsiTheme="minorHAnsi" w:cstheme="minorHAnsi"/>
          <w:b/>
        </w:rPr>
      </w:pPr>
      <w:r w:rsidRPr="00020FDE">
        <w:rPr>
          <w:rFonts w:asciiTheme="minorHAnsi" w:hAnsiTheme="minorHAnsi" w:cstheme="minorHAnsi"/>
        </w:rPr>
        <w:t xml:space="preserve">Completed proposals should be submitted no later than </w:t>
      </w:r>
      <w:r w:rsidR="009C3F83">
        <w:rPr>
          <w:rFonts w:asciiTheme="minorHAnsi" w:hAnsiTheme="minorHAnsi" w:cstheme="minorHAnsi"/>
          <w:b/>
        </w:rPr>
        <w:t>31</w:t>
      </w:r>
      <w:r w:rsidR="009C3F83" w:rsidRPr="009C3F83">
        <w:rPr>
          <w:rFonts w:asciiTheme="minorHAnsi" w:hAnsiTheme="minorHAnsi" w:cstheme="minorHAnsi"/>
          <w:b/>
          <w:vertAlign w:val="superscript"/>
        </w:rPr>
        <w:t>st</w:t>
      </w:r>
      <w:r w:rsidR="009C3F83">
        <w:rPr>
          <w:rFonts w:asciiTheme="minorHAnsi" w:hAnsiTheme="minorHAnsi" w:cstheme="minorHAnsi"/>
          <w:b/>
        </w:rPr>
        <w:t xml:space="preserve"> </w:t>
      </w:r>
      <w:r w:rsidR="009C3F83" w:rsidRPr="00020FDE">
        <w:rPr>
          <w:rFonts w:asciiTheme="minorHAnsi" w:hAnsiTheme="minorHAnsi" w:cstheme="minorHAnsi"/>
          <w:b/>
        </w:rPr>
        <w:t>March</w:t>
      </w:r>
      <w:r w:rsidRPr="00020FDE">
        <w:rPr>
          <w:rFonts w:asciiTheme="minorHAnsi" w:hAnsiTheme="minorHAnsi" w:cstheme="minorHAnsi"/>
          <w:b/>
        </w:rPr>
        <w:t xml:space="preserve"> 202</w:t>
      </w:r>
      <w:r w:rsidR="00C06D82" w:rsidRPr="00020FDE">
        <w:rPr>
          <w:rFonts w:asciiTheme="minorHAnsi" w:hAnsiTheme="minorHAnsi" w:cstheme="minorHAnsi"/>
          <w:b/>
        </w:rPr>
        <w:t>1</w:t>
      </w:r>
      <w:r w:rsidR="002126B4" w:rsidRPr="00020FDE">
        <w:rPr>
          <w:rFonts w:asciiTheme="minorHAnsi" w:hAnsiTheme="minorHAnsi" w:cstheme="minorHAnsi"/>
          <w:b/>
        </w:rPr>
        <w:t xml:space="preserve"> </w:t>
      </w:r>
      <w:r w:rsidR="003C75FA" w:rsidRPr="00020FDE">
        <w:rPr>
          <w:rFonts w:asciiTheme="minorHAnsi" w:hAnsiTheme="minorHAnsi" w:cstheme="minorHAnsi"/>
          <w:b/>
        </w:rPr>
        <w:t>(</w:t>
      </w:r>
      <w:r w:rsidR="00CB2598" w:rsidRPr="00020FDE">
        <w:rPr>
          <w:rFonts w:asciiTheme="minorHAnsi" w:hAnsiTheme="minorHAnsi" w:cstheme="minorHAnsi"/>
          <w:b/>
        </w:rPr>
        <w:t>Malawi</w:t>
      </w:r>
      <w:r w:rsidR="003C75FA" w:rsidRPr="00020FDE">
        <w:rPr>
          <w:rFonts w:asciiTheme="minorHAnsi" w:hAnsiTheme="minorHAnsi" w:cstheme="minorHAnsi"/>
          <w:b/>
        </w:rPr>
        <w:t xml:space="preserve"> Time).</w:t>
      </w:r>
    </w:p>
    <w:p w14:paraId="422ED3EE" w14:textId="2877CE72" w:rsidR="0017756D" w:rsidRPr="00020FDE" w:rsidRDefault="0017756D" w:rsidP="0017756D">
      <w:pPr>
        <w:jc w:val="both"/>
        <w:rPr>
          <w:rFonts w:asciiTheme="minorHAnsi" w:hAnsiTheme="minorHAnsi" w:cstheme="minorHAnsi"/>
        </w:rPr>
      </w:pPr>
      <w:r w:rsidRPr="00020FDE">
        <w:rPr>
          <w:rFonts w:asciiTheme="minorHAnsi" w:hAnsiTheme="minorHAnsi" w:cstheme="minorHAnsi"/>
        </w:rPr>
        <w:lastRenderedPageBreak/>
        <w:t xml:space="preserve">For any clarification regarding this assignment please write to </w:t>
      </w:r>
      <w:r w:rsidR="00020FDE">
        <w:rPr>
          <w:rFonts w:asciiTheme="minorHAnsi" w:hAnsiTheme="minorHAnsi" w:cstheme="minorHAnsi"/>
        </w:rPr>
        <w:t>Susan Mkan</w:t>
      </w:r>
      <w:r w:rsidR="001440D4">
        <w:rPr>
          <w:rFonts w:asciiTheme="minorHAnsi" w:hAnsiTheme="minorHAnsi" w:cstheme="minorHAnsi"/>
        </w:rPr>
        <w:t>d</w:t>
      </w:r>
      <w:r w:rsidR="00020FDE">
        <w:rPr>
          <w:rFonts w:asciiTheme="minorHAnsi" w:hAnsiTheme="minorHAnsi" w:cstheme="minorHAnsi"/>
        </w:rPr>
        <w:t>awire</w:t>
      </w:r>
      <w:r w:rsidRPr="00020FDE">
        <w:rPr>
          <w:rFonts w:asciiTheme="minorHAnsi" w:hAnsiTheme="minorHAnsi" w:cstheme="minorHAnsi"/>
        </w:rPr>
        <w:t xml:space="preserve"> on </w:t>
      </w:r>
      <w:hyperlink r:id="rId14" w:history="1">
        <w:r w:rsidR="00CB2598" w:rsidRPr="00020FDE">
          <w:rPr>
            <w:rStyle w:val="Hyperlink"/>
            <w:rFonts w:asciiTheme="minorHAnsi" w:hAnsiTheme="minorHAnsi" w:cstheme="minorHAnsi"/>
          </w:rPr>
          <w:t>procurement.mw@undp.org</w:t>
        </w:r>
      </w:hyperlink>
      <w:r w:rsidRPr="00020FDE">
        <w:rPr>
          <w:rStyle w:val="Hyperlink"/>
          <w:rFonts w:asciiTheme="minorHAnsi" w:hAnsiTheme="minorHAnsi" w:cstheme="minorHAnsi"/>
          <w:color w:val="000000" w:themeColor="text1"/>
          <w:u w:val="none"/>
        </w:rPr>
        <w:t xml:space="preserve">. </w:t>
      </w:r>
      <w:r w:rsidRPr="00020FDE">
        <w:rPr>
          <w:rFonts w:asciiTheme="minorHAnsi" w:hAnsiTheme="minorHAnsi" w:cstheme="minorHAnsi"/>
        </w:rPr>
        <w:t xml:space="preserve">Only written communication will be responded.   </w:t>
      </w:r>
    </w:p>
    <w:p w14:paraId="19851DBE" w14:textId="77777777" w:rsidR="0017756D" w:rsidRPr="00020FDE" w:rsidRDefault="0017756D" w:rsidP="0017756D">
      <w:pPr>
        <w:widowControl w:val="0"/>
        <w:autoSpaceDE w:val="0"/>
        <w:autoSpaceDN w:val="0"/>
        <w:adjustRightInd w:val="0"/>
        <w:spacing w:after="240"/>
        <w:jc w:val="both"/>
        <w:rPr>
          <w:rFonts w:asciiTheme="minorHAnsi" w:hAnsiTheme="minorHAnsi" w:cstheme="minorHAnsi"/>
        </w:rPr>
      </w:pPr>
      <w:r w:rsidRPr="00020FDE">
        <w:rPr>
          <w:rFonts w:asciiTheme="minorHAnsi" w:hAnsiTheme="minorHAnsi" w:cstheme="minorHAnsi"/>
        </w:rPr>
        <w:t>UNDP looks forward to receiving your Proposal and thank you in advance for your interest in UNDP procurement opportunities. </w:t>
      </w:r>
    </w:p>
    <w:p w14:paraId="20C770BC" w14:textId="77777777" w:rsidR="0017756D" w:rsidRPr="00020FDE" w:rsidRDefault="0017756D" w:rsidP="006E7350">
      <w:pPr>
        <w:widowControl w:val="0"/>
        <w:autoSpaceDE w:val="0"/>
        <w:autoSpaceDN w:val="0"/>
        <w:adjustRightInd w:val="0"/>
        <w:spacing w:after="240"/>
        <w:rPr>
          <w:rFonts w:asciiTheme="minorHAnsi" w:hAnsiTheme="minorHAnsi" w:cstheme="minorHAnsi"/>
          <w:b/>
          <w:bCs/>
          <w:color w:val="000000"/>
        </w:rPr>
      </w:pPr>
    </w:p>
    <w:p w14:paraId="4913C93B" w14:textId="77777777" w:rsidR="006E7350" w:rsidRPr="00020FDE" w:rsidRDefault="006E7350" w:rsidP="006E7350">
      <w:pPr>
        <w:autoSpaceDE w:val="0"/>
        <w:autoSpaceDN w:val="0"/>
        <w:adjustRightInd w:val="0"/>
        <w:spacing w:after="0" w:line="240" w:lineRule="auto"/>
        <w:rPr>
          <w:rFonts w:asciiTheme="minorHAnsi" w:eastAsia="SymbolMT" w:hAnsiTheme="minorHAnsi" w:cstheme="minorHAnsi"/>
          <w:b/>
          <w:color w:val="31849B" w:themeColor="accent5" w:themeShade="BF"/>
        </w:rPr>
      </w:pPr>
      <w:r w:rsidRPr="00020FDE">
        <w:rPr>
          <w:rFonts w:asciiTheme="minorHAnsi" w:eastAsia="SymbolMT" w:hAnsiTheme="minorHAnsi" w:cstheme="minorHAnsi"/>
          <w:b/>
          <w:color w:val="31849B" w:themeColor="accent5" w:themeShade="BF"/>
        </w:rPr>
        <w:t xml:space="preserve">Approval </w:t>
      </w:r>
    </w:p>
    <w:p w14:paraId="171BBD2B" w14:textId="77777777" w:rsidR="006E7350" w:rsidRPr="00020FDE" w:rsidRDefault="006E7350" w:rsidP="006E7350">
      <w:pPr>
        <w:autoSpaceDE w:val="0"/>
        <w:autoSpaceDN w:val="0"/>
        <w:adjustRightInd w:val="0"/>
        <w:spacing w:after="0" w:line="240" w:lineRule="auto"/>
        <w:rPr>
          <w:rFonts w:asciiTheme="minorHAnsi" w:eastAsia="SymbolMT" w:hAnsiTheme="minorHAnsi" w:cstheme="minorHAnsi"/>
          <w:b/>
          <w:color w:val="31849B" w:themeColor="accent5" w:themeShade="BF"/>
        </w:rPr>
      </w:pPr>
    </w:p>
    <w:p w14:paraId="1E34E135" w14:textId="77777777" w:rsidR="006E7350" w:rsidRPr="00020FDE" w:rsidRDefault="006E7350" w:rsidP="006E7350">
      <w:pPr>
        <w:jc w:val="both"/>
        <w:rPr>
          <w:rFonts w:asciiTheme="minorHAnsi" w:hAnsiTheme="minorHAnsi" w:cstheme="minorHAnsi"/>
        </w:rPr>
      </w:pPr>
      <w:r w:rsidRPr="00020FDE">
        <w:rPr>
          <w:rFonts w:asciiTheme="minorHAnsi" w:hAnsiTheme="minorHAnsi" w:cstheme="minorHAnsi"/>
          <w:b/>
        </w:rPr>
        <w:t>This TOR is approved by</w:t>
      </w:r>
      <w:r w:rsidRPr="00020FDE">
        <w:rPr>
          <w:rFonts w:asciiTheme="minorHAnsi" w:hAnsiTheme="minorHAnsi" w:cstheme="minorHAnsi"/>
        </w:rPr>
        <w:t xml:space="preserve">:  </w:t>
      </w:r>
    </w:p>
    <w:p w14:paraId="6DB065C6" w14:textId="63529647" w:rsidR="006E7350" w:rsidRPr="00020FDE" w:rsidRDefault="006E7350" w:rsidP="006E7350">
      <w:pPr>
        <w:spacing w:after="0" w:line="240" w:lineRule="auto"/>
        <w:jc w:val="both"/>
        <w:rPr>
          <w:rFonts w:asciiTheme="minorHAnsi" w:hAnsiTheme="minorHAnsi" w:cstheme="minorHAnsi"/>
          <w:u w:val="single"/>
        </w:rPr>
      </w:pPr>
      <w:r w:rsidRPr="00020FDE">
        <w:rPr>
          <w:rFonts w:asciiTheme="minorHAnsi" w:hAnsiTheme="minorHAnsi" w:cstheme="minorHAnsi"/>
        </w:rPr>
        <w:t>Name and Designation</w:t>
      </w:r>
      <w:r w:rsidRPr="00020FDE">
        <w:rPr>
          <w:rFonts w:asciiTheme="minorHAnsi" w:hAnsiTheme="minorHAnsi" w:cstheme="minorHAnsi"/>
        </w:rPr>
        <w:tab/>
      </w:r>
      <w:r w:rsidR="007B6A2A" w:rsidRPr="00020FDE">
        <w:rPr>
          <w:rFonts w:asciiTheme="minorHAnsi" w:hAnsiTheme="minorHAnsi" w:cstheme="minorHAnsi"/>
          <w:u w:val="single"/>
        </w:rPr>
        <w:t>Claire Medina</w:t>
      </w:r>
    </w:p>
    <w:p w14:paraId="01D7ADCC" w14:textId="53EAC200" w:rsidR="006E7350" w:rsidRPr="00020FDE" w:rsidRDefault="006E7350" w:rsidP="006E7350">
      <w:pPr>
        <w:spacing w:after="0" w:line="240" w:lineRule="auto"/>
        <w:ind w:left="2160"/>
        <w:jc w:val="both"/>
        <w:rPr>
          <w:rFonts w:asciiTheme="minorHAnsi" w:hAnsiTheme="minorHAnsi" w:cstheme="minorHAnsi"/>
          <w:u w:val="single"/>
        </w:rPr>
      </w:pPr>
      <w:r w:rsidRPr="00020FDE">
        <w:rPr>
          <w:rFonts w:asciiTheme="minorHAnsi" w:hAnsiTheme="minorHAnsi" w:cstheme="minorHAnsi"/>
          <w:u w:val="single"/>
        </w:rPr>
        <w:t>UN</w:t>
      </w:r>
      <w:r w:rsidR="00511CCF" w:rsidRPr="00020FDE">
        <w:rPr>
          <w:rFonts w:asciiTheme="minorHAnsi" w:hAnsiTheme="minorHAnsi" w:cstheme="minorHAnsi"/>
          <w:u w:val="single"/>
        </w:rPr>
        <w:t>DP</w:t>
      </w:r>
      <w:r w:rsidR="00C06D82" w:rsidRPr="00020FDE">
        <w:rPr>
          <w:rFonts w:asciiTheme="minorHAnsi" w:hAnsiTheme="minorHAnsi" w:cstheme="minorHAnsi"/>
          <w:u w:val="single"/>
        </w:rPr>
        <w:t xml:space="preserve"> Malawi</w:t>
      </w:r>
      <w:r w:rsidR="007B6A2A" w:rsidRPr="00020FDE">
        <w:rPr>
          <w:rFonts w:asciiTheme="minorHAnsi" w:hAnsiTheme="minorHAnsi" w:cstheme="minorHAnsi"/>
          <w:u w:val="single"/>
        </w:rPr>
        <w:t xml:space="preserve"> Deputy Resident Representative</w:t>
      </w:r>
    </w:p>
    <w:p w14:paraId="6AE002BD" w14:textId="4174ADA1" w:rsidR="006E7350" w:rsidRPr="00020FDE" w:rsidRDefault="006E7350" w:rsidP="006E7350">
      <w:pPr>
        <w:spacing w:before="100" w:beforeAutospacing="1" w:after="100" w:afterAutospacing="1"/>
        <w:jc w:val="both"/>
        <w:rPr>
          <w:rFonts w:asciiTheme="minorHAnsi" w:eastAsia="Times New Roman" w:hAnsiTheme="minorHAnsi" w:cstheme="minorHAnsi"/>
        </w:rPr>
      </w:pPr>
    </w:p>
    <w:sectPr w:rsidR="006E7350" w:rsidRPr="00020FDE" w:rsidSect="00800EC9">
      <w:footerReference w:type="default" r:id="rId15"/>
      <w:pgSz w:w="11906" w:h="16838"/>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54C41F" w14:textId="77777777" w:rsidR="0023524B" w:rsidRDefault="0023524B" w:rsidP="00350029">
      <w:pPr>
        <w:spacing w:after="0" w:line="240" w:lineRule="auto"/>
      </w:pPr>
      <w:r>
        <w:separator/>
      </w:r>
    </w:p>
  </w:endnote>
  <w:endnote w:type="continuationSeparator" w:id="0">
    <w:p w14:paraId="5A6B81F0" w14:textId="77777777" w:rsidR="0023524B" w:rsidRDefault="0023524B" w:rsidP="00350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7" w:csb1="00000000"/>
  </w:font>
  <w:font w:name="Malgun Gothic Semilight">
    <w:panose1 w:val="020B0502040204020203"/>
    <w:charset w:val="80"/>
    <w:family w:val="swiss"/>
    <w:pitch w:val="variable"/>
    <w:sig w:usb0="B0000AAF" w:usb1="09DF7CFB" w:usb2="00000012" w:usb3="00000000" w:csb0="003E01BD" w:csb1="00000000"/>
  </w:font>
  <w:font w:name="Arial Unicode MS">
    <w:panose1 w:val="020B0604020202020204"/>
    <w:charset w:val="80"/>
    <w:family w:val="swiss"/>
    <w:pitch w:val="variable"/>
    <w:sig w:usb0="F7FFAFFF" w:usb1="E9DFFFFF" w:usb2="0000003F" w:usb3="00000000" w:csb0="003F01FF" w:csb1="00000000"/>
  </w:font>
  <w:font w:name="SymbolMT">
    <w:altName w:val="Symbol"/>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9513987"/>
      <w:docPartObj>
        <w:docPartGallery w:val="Page Numbers (Bottom of Page)"/>
        <w:docPartUnique/>
      </w:docPartObj>
    </w:sdtPr>
    <w:sdtEndPr>
      <w:rPr>
        <w:noProof/>
      </w:rPr>
    </w:sdtEndPr>
    <w:sdtContent>
      <w:p w14:paraId="2E8DE0C3" w14:textId="20E69128" w:rsidR="00350029" w:rsidRDefault="0035002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91DE9C" w14:textId="77777777" w:rsidR="00350029" w:rsidRDefault="003500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530D15" w14:textId="77777777" w:rsidR="0023524B" w:rsidRDefault="0023524B" w:rsidP="00350029">
      <w:pPr>
        <w:spacing w:after="0" w:line="240" w:lineRule="auto"/>
      </w:pPr>
      <w:r>
        <w:separator/>
      </w:r>
    </w:p>
  </w:footnote>
  <w:footnote w:type="continuationSeparator" w:id="0">
    <w:p w14:paraId="307CC66E" w14:textId="77777777" w:rsidR="0023524B" w:rsidRDefault="0023524B" w:rsidP="003500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C2C97"/>
    <w:multiLevelType w:val="hybridMultilevel"/>
    <w:tmpl w:val="ED78C152"/>
    <w:lvl w:ilvl="0" w:tplc="20000013">
      <w:start w:val="1"/>
      <w:numFmt w:val="upp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B7E1F59"/>
    <w:multiLevelType w:val="hybridMultilevel"/>
    <w:tmpl w:val="7C5E8F84"/>
    <w:lvl w:ilvl="0" w:tplc="4ED46916">
      <w:start w:val="1"/>
      <w:numFmt w:val="bullet"/>
      <w:lvlText w:val=""/>
      <w:lvlJc w:val="left"/>
      <w:pPr>
        <w:tabs>
          <w:tab w:val="num" w:pos="720"/>
        </w:tabs>
        <w:ind w:left="720" w:hanging="360"/>
      </w:pPr>
      <w:rPr>
        <w:rFonts w:ascii="Symbol" w:hAnsi="Symbol" w:hint="default"/>
        <w:sz w:val="20"/>
      </w:rPr>
    </w:lvl>
    <w:lvl w:ilvl="1" w:tplc="F9B2D66A" w:tentative="1">
      <w:start w:val="1"/>
      <w:numFmt w:val="bullet"/>
      <w:lvlText w:val="o"/>
      <w:lvlJc w:val="left"/>
      <w:pPr>
        <w:tabs>
          <w:tab w:val="num" w:pos="1440"/>
        </w:tabs>
        <w:ind w:left="1440" w:hanging="360"/>
      </w:pPr>
      <w:rPr>
        <w:rFonts w:ascii="Courier New" w:hAnsi="Courier New" w:hint="default"/>
        <w:sz w:val="20"/>
      </w:rPr>
    </w:lvl>
    <w:lvl w:ilvl="2" w:tplc="58482536" w:tentative="1">
      <w:start w:val="1"/>
      <w:numFmt w:val="bullet"/>
      <w:lvlText w:val=""/>
      <w:lvlJc w:val="left"/>
      <w:pPr>
        <w:tabs>
          <w:tab w:val="num" w:pos="2160"/>
        </w:tabs>
        <w:ind w:left="2160" w:hanging="360"/>
      </w:pPr>
      <w:rPr>
        <w:rFonts w:ascii="Wingdings" w:hAnsi="Wingdings" w:hint="default"/>
        <w:sz w:val="20"/>
      </w:rPr>
    </w:lvl>
    <w:lvl w:ilvl="3" w:tplc="0DDC09F8" w:tentative="1">
      <w:start w:val="1"/>
      <w:numFmt w:val="bullet"/>
      <w:lvlText w:val=""/>
      <w:lvlJc w:val="left"/>
      <w:pPr>
        <w:tabs>
          <w:tab w:val="num" w:pos="2880"/>
        </w:tabs>
        <w:ind w:left="2880" w:hanging="360"/>
      </w:pPr>
      <w:rPr>
        <w:rFonts w:ascii="Wingdings" w:hAnsi="Wingdings" w:hint="default"/>
        <w:sz w:val="20"/>
      </w:rPr>
    </w:lvl>
    <w:lvl w:ilvl="4" w:tplc="AE568B30" w:tentative="1">
      <w:start w:val="1"/>
      <w:numFmt w:val="bullet"/>
      <w:lvlText w:val=""/>
      <w:lvlJc w:val="left"/>
      <w:pPr>
        <w:tabs>
          <w:tab w:val="num" w:pos="3600"/>
        </w:tabs>
        <w:ind w:left="3600" w:hanging="360"/>
      </w:pPr>
      <w:rPr>
        <w:rFonts w:ascii="Wingdings" w:hAnsi="Wingdings" w:hint="default"/>
        <w:sz w:val="20"/>
      </w:rPr>
    </w:lvl>
    <w:lvl w:ilvl="5" w:tplc="44ACF368" w:tentative="1">
      <w:start w:val="1"/>
      <w:numFmt w:val="bullet"/>
      <w:lvlText w:val=""/>
      <w:lvlJc w:val="left"/>
      <w:pPr>
        <w:tabs>
          <w:tab w:val="num" w:pos="4320"/>
        </w:tabs>
        <w:ind w:left="4320" w:hanging="360"/>
      </w:pPr>
      <w:rPr>
        <w:rFonts w:ascii="Wingdings" w:hAnsi="Wingdings" w:hint="default"/>
        <w:sz w:val="20"/>
      </w:rPr>
    </w:lvl>
    <w:lvl w:ilvl="6" w:tplc="969A3830" w:tentative="1">
      <w:start w:val="1"/>
      <w:numFmt w:val="bullet"/>
      <w:lvlText w:val=""/>
      <w:lvlJc w:val="left"/>
      <w:pPr>
        <w:tabs>
          <w:tab w:val="num" w:pos="5040"/>
        </w:tabs>
        <w:ind w:left="5040" w:hanging="360"/>
      </w:pPr>
      <w:rPr>
        <w:rFonts w:ascii="Wingdings" w:hAnsi="Wingdings" w:hint="default"/>
        <w:sz w:val="20"/>
      </w:rPr>
    </w:lvl>
    <w:lvl w:ilvl="7" w:tplc="F404E648" w:tentative="1">
      <w:start w:val="1"/>
      <w:numFmt w:val="bullet"/>
      <w:lvlText w:val=""/>
      <w:lvlJc w:val="left"/>
      <w:pPr>
        <w:tabs>
          <w:tab w:val="num" w:pos="5760"/>
        </w:tabs>
        <w:ind w:left="5760" w:hanging="360"/>
      </w:pPr>
      <w:rPr>
        <w:rFonts w:ascii="Wingdings" w:hAnsi="Wingdings" w:hint="default"/>
        <w:sz w:val="20"/>
      </w:rPr>
    </w:lvl>
    <w:lvl w:ilvl="8" w:tplc="E634E6B6"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B6300D"/>
    <w:multiLevelType w:val="hybridMultilevel"/>
    <w:tmpl w:val="A372B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FD3B19"/>
    <w:multiLevelType w:val="hybridMultilevel"/>
    <w:tmpl w:val="BEFE98C8"/>
    <w:lvl w:ilvl="0" w:tplc="DA3A850A">
      <w:start w:val="1"/>
      <w:numFmt w:val="decimal"/>
      <w:lvlText w:val="%1)"/>
      <w:lvlJc w:val="left"/>
      <w:pPr>
        <w:ind w:left="360" w:hanging="360"/>
      </w:pPr>
      <w:rPr>
        <w:rFonts w:ascii="Cambria" w:eastAsia="Times New Roman" w:hAnsi="Cambria" w:cs="Times New Roman"/>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 w15:restartNumberingAfterBreak="0">
    <w:nsid w:val="14DD1804"/>
    <w:multiLevelType w:val="hybridMultilevel"/>
    <w:tmpl w:val="8FC0594E"/>
    <w:lvl w:ilvl="0" w:tplc="B69C35B2">
      <w:numFmt w:val="bullet"/>
      <w:lvlText w:val="•"/>
      <w:lvlJc w:val="left"/>
      <w:pPr>
        <w:ind w:left="1080" w:hanging="72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B5363B"/>
    <w:multiLevelType w:val="hybridMultilevel"/>
    <w:tmpl w:val="FF2E33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FC3760"/>
    <w:multiLevelType w:val="hybridMultilevel"/>
    <w:tmpl w:val="C48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117A67"/>
    <w:multiLevelType w:val="hybridMultilevel"/>
    <w:tmpl w:val="284443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EE6210D"/>
    <w:multiLevelType w:val="hybridMultilevel"/>
    <w:tmpl w:val="AF781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016A7"/>
    <w:multiLevelType w:val="multilevel"/>
    <w:tmpl w:val="80AEFB12"/>
    <w:lvl w:ilvl="0">
      <w:start w:val="1"/>
      <w:numFmt w:val="bullet"/>
      <w:lvlText w:val=""/>
      <w:lvlJc w:val="left"/>
      <w:pPr>
        <w:tabs>
          <w:tab w:val="num" w:pos="1080"/>
        </w:tabs>
        <w:ind w:left="1080" w:hanging="360"/>
      </w:pPr>
      <w:rPr>
        <w:rFonts w:ascii="Symbol" w:hAnsi="Symbol" w:hint="default"/>
      </w:rPr>
    </w:lvl>
    <w:lvl w:ilvl="1">
      <w:start w:val="1"/>
      <w:numFmt w:val="decimal"/>
      <w:isLgl/>
      <w:lvlText w:val="%1.%2"/>
      <w:lvlJc w:val="left"/>
      <w:pPr>
        <w:ind w:left="126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700" w:hanging="1080"/>
      </w:pPr>
      <w:rPr>
        <w:rFonts w:hint="default"/>
        <w:b/>
      </w:rPr>
    </w:lvl>
    <w:lvl w:ilvl="6">
      <w:start w:val="1"/>
      <w:numFmt w:val="decimal"/>
      <w:isLgl/>
      <w:lvlText w:val="%1.%2.%3.%4.%5.%6.%7"/>
      <w:lvlJc w:val="left"/>
      <w:pPr>
        <w:ind w:left="3240" w:hanging="1440"/>
      </w:pPr>
      <w:rPr>
        <w:rFonts w:hint="default"/>
        <w:b/>
      </w:rPr>
    </w:lvl>
    <w:lvl w:ilvl="7">
      <w:start w:val="1"/>
      <w:numFmt w:val="decimal"/>
      <w:isLgl/>
      <w:lvlText w:val="%1.%2.%3.%4.%5.%6.%7.%8"/>
      <w:lvlJc w:val="left"/>
      <w:pPr>
        <w:ind w:left="3420" w:hanging="1440"/>
      </w:pPr>
      <w:rPr>
        <w:rFonts w:hint="default"/>
        <w:b/>
      </w:rPr>
    </w:lvl>
    <w:lvl w:ilvl="8">
      <w:start w:val="1"/>
      <w:numFmt w:val="decimal"/>
      <w:isLgl/>
      <w:lvlText w:val="%1.%2.%3.%4.%5.%6.%7.%8.%9"/>
      <w:lvlJc w:val="left"/>
      <w:pPr>
        <w:ind w:left="3960" w:hanging="1800"/>
      </w:pPr>
      <w:rPr>
        <w:rFonts w:hint="default"/>
        <w:b/>
      </w:rPr>
    </w:lvl>
  </w:abstractNum>
  <w:abstractNum w:abstractNumId="10" w15:restartNumberingAfterBreak="0">
    <w:nsid w:val="246866AE"/>
    <w:multiLevelType w:val="hybridMultilevel"/>
    <w:tmpl w:val="E6D63FDA"/>
    <w:lvl w:ilvl="0" w:tplc="20000001">
      <w:start w:val="1"/>
      <w:numFmt w:val="bullet"/>
      <w:lvlText w:val=""/>
      <w:lvlJc w:val="left"/>
      <w:pPr>
        <w:ind w:left="786" w:hanging="360"/>
      </w:pPr>
      <w:rPr>
        <w:rFonts w:ascii="Symbol" w:hAnsi="Symbol" w:hint="default"/>
      </w:rPr>
    </w:lvl>
    <w:lvl w:ilvl="1" w:tplc="20000003" w:tentative="1">
      <w:start w:val="1"/>
      <w:numFmt w:val="bullet"/>
      <w:lvlText w:val="o"/>
      <w:lvlJc w:val="left"/>
      <w:pPr>
        <w:ind w:left="1506" w:hanging="360"/>
      </w:pPr>
      <w:rPr>
        <w:rFonts w:ascii="Courier New" w:hAnsi="Courier New" w:cs="Courier New" w:hint="default"/>
      </w:rPr>
    </w:lvl>
    <w:lvl w:ilvl="2" w:tplc="20000005" w:tentative="1">
      <w:start w:val="1"/>
      <w:numFmt w:val="bullet"/>
      <w:lvlText w:val=""/>
      <w:lvlJc w:val="left"/>
      <w:pPr>
        <w:ind w:left="2226" w:hanging="360"/>
      </w:pPr>
      <w:rPr>
        <w:rFonts w:ascii="Wingdings" w:hAnsi="Wingdings" w:hint="default"/>
      </w:rPr>
    </w:lvl>
    <w:lvl w:ilvl="3" w:tplc="20000001" w:tentative="1">
      <w:start w:val="1"/>
      <w:numFmt w:val="bullet"/>
      <w:lvlText w:val=""/>
      <w:lvlJc w:val="left"/>
      <w:pPr>
        <w:ind w:left="2946" w:hanging="360"/>
      </w:pPr>
      <w:rPr>
        <w:rFonts w:ascii="Symbol" w:hAnsi="Symbol" w:hint="default"/>
      </w:rPr>
    </w:lvl>
    <w:lvl w:ilvl="4" w:tplc="20000003" w:tentative="1">
      <w:start w:val="1"/>
      <w:numFmt w:val="bullet"/>
      <w:lvlText w:val="o"/>
      <w:lvlJc w:val="left"/>
      <w:pPr>
        <w:ind w:left="3666" w:hanging="360"/>
      </w:pPr>
      <w:rPr>
        <w:rFonts w:ascii="Courier New" w:hAnsi="Courier New" w:cs="Courier New" w:hint="default"/>
      </w:rPr>
    </w:lvl>
    <w:lvl w:ilvl="5" w:tplc="20000005" w:tentative="1">
      <w:start w:val="1"/>
      <w:numFmt w:val="bullet"/>
      <w:lvlText w:val=""/>
      <w:lvlJc w:val="left"/>
      <w:pPr>
        <w:ind w:left="4386" w:hanging="360"/>
      </w:pPr>
      <w:rPr>
        <w:rFonts w:ascii="Wingdings" w:hAnsi="Wingdings" w:hint="default"/>
      </w:rPr>
    </w:lvl>
    <w:lvl w:ilvl="6" w:tplc="20000001" w:tentative="1">
      <w:start w:val="1"/>
      <w:numFmt w:val="bullet"/>
      <w:lvlText w:val=""/>
      <w:lvlJc w:val="left"/>
      <w:pPr>
        <w:ind w:left="5106" w:hanging="360"/>
      </w:pPr>
      <w:rPr>
        <w:rFonts w:ascii="Symbol" w:hAnsi="Symbol" w:hint="default"/>
      </w:rPr>
    </w:lvl>
    <w:lvl w:ilvl="7" w:tplc="20000003" w:tentative="1">
      <w:start w:val="1"/>
      <w:numFmt w:val="bullet"/>
      <w:lvlText w:val="o"/>
      <w:lvlJc w:val="left"/>
      <w:pPr>
        <w:ind w:left="5826" w:hanging="360"/>
      </w:pPr>
      <w:rPr>
        <w:rFonts w:ascii="Courier New" w:hAnsi="Courier New" w:cs="Courier New" w:hint="default"/>
      </w:rPr>
    </w:lvl>
    <w:lvl w:ilvl="8" w:tplc="20000005" w:tentative="1">
      <w:start w:val="1"/>
      <w:numFmt w:val="bullet"/>
      <w:lvlText w:val=""/>
      <w:lvlJc w:val="left"/>
      <w:pPr>
        <w:ind w:left="6546" w:hanging="360"/>
      </w:pPr>
      <w:rPr>
        <w:rFonts w:ascii="Wingdings" w:hAnsi="Wingdings" w:hint="default"/>
      </w:rPr>
    </w:lvl>
  </w:abstractNum>
  <w:abstractNum w:abstractNumId="11" w15:restartNumberingAfterBreak="0">
    <w:nsid w:val="2A4724ED"/>
    <w:multiLevelType w:val="hybridMultilevel"/>
    <w:tmpl w:val="A6242E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C36EE1"/>
    <w:multiLevelType w:val="hybridMultilevel"/>
    <w:tmpl w:val="6430DB3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34DC21E8"/>
    <w:multiLevelType w:val="hybridMultilevel"/>
    <w:tmpl w:val="043CC4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5D90B00"/>
    <w:multiLevelType w:val="hybridMultilevel"/>
    <w:tmpl w:val="023AD288"/>
    <w:lvl w:ilvl="0" w:tplc="2E2A618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DE0805"/>
    <w:multiLevelType w:val="hybridMultilevel"/>
    <w:tmpl w:val="BE7AC2CE"/>
    <w:lvl w:ilvl="0" w:tplc="E14CBB64">
      <w:start w:val="1"/>
      <w:numFmt w:val="upperLetter"/>
      <w:pStyle w:val="Heading3"/>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F07284"/>
    <w:multiLevelType w:val="hybridMultilevel"/>
    <w:tmpl w:val="21949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870693"/>
    <w:multiLevelType w:val="hybridMultilevel"/>
    <w:tmpl w:val="244AA2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AF2684B"/>
    <w:multiLevelType w:val="hybridMultilevel"/>
    <w:tmpl w:val="024EA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888306A"/>
    <w:multiLevelType w:val="hybridMultilevel"/>
    <w:tmpl w:val="27F65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8CE160E"/>
    <w:multiLevelType w:val="hybridMultilevel"/>
    <w:tmpl w:val="FCEA5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86195A"/>
    <w:multiLevelType w:val="hybridMultilevel"/>
    <w:tmpl w:val="326E1CF6"/>
    <w:lvl w:ilvl="0" w:tplc="6CDA49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E517F4"/>
    <w:multiLevelType w:val="hybridMultilevel"/>
    <w:tmpl w:val="FE826734"/>
    <w:lvl w:ilvl="0" w:tplc="AD647F98">
      <w:start w:val="1"/>
      <w:numFmt w:val="bullet"/>
      <w:pStyle w:val="Bullet1"/>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D0C324C"/>
    <w:multiLevelType w:val="hybridMultilevel"/>
    <w:tmpl w:val="80DE4F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D5E00B9"/>
    <w:multiLevelType w:val="hybridMultilevel"/>
    <w:tmpl w:val="AF781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D42712"/>
    <w:multiLevelType w:val="hybridMultilevel"/>
    <w:tmpl w:val="2C8AFB8E"/>
    <w:lvl w:ilvl="0" w:tplc="DA3A850A">
      <w:start w:val="1"/>
      <w:numFmt w:val="decimal"/>
      <w:lvlText w:val="%1)"/>
      <w:lvlJc w:val="left"/>
      <w:pPr>
        <w:ind w:left="360" w:hanging="360"/>
      </w:pPr>
      <w:rPr>
        <w:rFonts w:ascii="Cambria" w:eastAsia="Times New Roman" w:hAnsi="Cambria" w:cs="Times New Roman"/>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5240C794">
      <w:start w:val="4"/>
      <w:numFmt w:val="bullet"/>
      <w:lvlText w:val="-"/>
      <w:lvlJc w:val="left"/>
      <w:pPr>
        <w:ind w:left="2520" w:hanging="360"/>
      </w:pPr>
      <w:rPr>
        <w:rFonts w:ascii="Times New Roman" w:eastAsia="Calibri" w:hAnsi="Times New Roman" w:cs="Times New Roman"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6" w15:restartNumberingAfterBreak="0">
    <w:nsid w:val="79311F4E"/>
    <w:multiLevelType w:val="hybridMultilevel"/>
    <w:tmpl w:val="AF781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9172B8"/>
    <w:multiLevelType w:val="hybridMultilevel"/>
    <w:tmpl w:val="0A32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C438A"/>
    <w:multiLevelType w:val="hybridMultilevel"/>
    <w:tmpl w:val="762612C0"/>
    <w:lvl w:ilvl="0" w:tplc="8764A1C0">
      <w:start w:val="1"/>
      <w:numFmt w:val="lowerLetter"/>
      <w:lvlText w:val="%1)"/>
      <w:lvlJc w:val="left"/>
      <w:pPr>
        <w:ind w:left="720" w:hanging="360"/>
      </w:pPr>
      <w:rPr>
        <w:rFonts w:hint="default"/>
        <w:color w:val="auto"/>
      </w:rPr>
    </w:lvl>
    <w:lvl w:ilvl="1" w:tplc="34090019" w:tentative="1">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15"/>
  </w:num>
  <w:num w:numId="2">
    <w:abstractNumId w:val="28"/>
  </w:num>
  <w:num w:numId="3">
    <w:abstractNumId w:val="22"/>
  </w:num>
  <w:num w:numId="4">
    <w:abstractNumId w:val="1"/>
  </w:num>
  <w:num w:numId="5">
    <w:abstractNumId w:val="17"/>
  </w:num>
  <w:num w:numId="6">
    <w:abstractNumId w:val="0"/>
  </w:num>
  <w:num w:numId="7">
    <w:abstractNumId w:val="2"/>
  </w:num>
  <w:num w:numId="8">
    <w:abstractNumId w:val="21"/>
  </w:num>
  <w:num w:numId="9">
    <w:abstractNumId w:val="11"/>
  </w:num>
  <w:num w:numId="10">
    <w:abstractNumId w:val="5"/>
  </w:num>
  <w:num w:numId="11">
    <w:abstractNumId w:val="13"/>
  </w:num>
  <w:num w:numId="12">
    <w:abstractNumId w:val="7"/>
  </w:num>
  <w:num w:numId="13">
    <w:abstractNumId w:val="9"/>
  </w:num>
  <w:num w:numId="14">
    <w:abstractNumId w:val="19"/>
  </w:num>
  <w:num w:numId="15">
    <w:abstractNumId w:val="18"/>
  </w:num>
  <w:num w:numId="16">
    <w:abstractNumId w:val="20"/>
  </w:num>
  <w:num w:numId="17">
    <w:abstractNumId w:val="16"/>
  </w:num>
  <w:num w:numId="18">
    <w:abstractNumId w:val="3"/>
  </w:num>
  <w:num w:numId="19">
    <w:abstractNumId w:val="25"/>
  </w:num>
  <w:num w:numId="20">
    <w:abstractNumId w:val="14"/>
  </w:num>
  <w:num w:numId="21">
    <w:abstractNumId w:val="12"/>
  </w:num>
  <w:num w:numId="22">
    <w:abstractNumId w:val="8"/>
  </w:num>
  <w:num w:numId="23">
    <w:abstractNumId w:val="4"/>
  </w:num>
  <w:num w:numId="24">
    <w:abstractNumId w:val="24"/>
  </w:num>
  <w:num w:numId="25">
    <w:abstractNumId w:val="26"/>
  </w:num>
  <w:num w:numId="26">
    <w:abstractNumId w:val="27"/>
  </w:num>
  <w:num w:numId="27">
    <w:abstractNumId w:val="6"/>
  </w:num>
  <w:num w:numId="28">
    <w:abstractNumId w:val="23"/>
  </w:num>
  <w:num w:numId="2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B95"/>
    <w:rsid w:val="00001A8A"/>
    <w:rsid w:val="00020FDE"/>
    <w:rsid w:val="00022AC7"/>
    <w:rsid w:val="000419D0"/>
    <w:rsid w:val="00053760"/>
    <w:rsid w:val="00084D3B"/>
    <w:rsid w:val="00093ECE"/>
    <w:rsid w:val="000A262E"/>
    <w:rsid w:val="000A615A"/>
    <w:rsid w:val="000C0D9D"/>
    <w:rsid w:val="000E4C2B"/>
    <w:rsid w:val="000E773A"/>
    <w:rsid w:val="000F75C9"/>
    <w:rsid w:val="001007BE"/>
    <w:rsid w:val="0010238B"/>
    <w:rsid w:val="0012025D"/>
    <w:rsid w:val="001229E6"/>
    <w:rsid w:val="001440D4"/>
    <w:rsid w:val="00154BFA"/>
    <w:rsid w:val="00156F8A"/>
    <w:rsid w:val="001607F6"/>
    <w:rsid w:val="0017432A"/>
    <w:rsid w:val="0017756D"/>
    <w:rsid w:val="00182CF4"/>
    <w:rsid w:val="001843AB"/>
    <w:rsid w:val="0019100F"/>
    <w:rsid w:val="00191CBC"/>
    <w:rsid w:val="00193EE0"/>
    <w:rsid w:val="00196359"/>
    <w:rsid w:val="001C5E05"/>
    <w:rsid w:val="001D32B4"/>
    <w:rsid w:val="001D37FD"/>
    <w:rsid w:val="001E3CD3"/>
    <w:rsid w:val="001F1BFE"/>
    <w:rsid w:val="00200E75"/>
    <w:rsid w:val="002126B4"/>
    <w:rsid w:val="00213AAE"/>
    <w:rsid w:val="00225F89"/>
    <w:rsid w:val="0023524B"/>
    <w:rsid w:val="00243AA0"/>
    <w:rsid w:val="00271288"/>
    <w:rsid w:val="002B41BE"/>
    <w:rsid w:val="002B6CA2"/>
    <w:rsid w:val="002C21CA"/>
    <w:rsid w:val="002C30FE"/>
    <w:rsid w:val="002C48E8"/>
    <w:rsid w:val="002D5769"/>
    <w:rsid w:val="002D6AB2"/>
    <w:rsid w:val="002E291A"/>
    <w:rsid w:val="002F6E9C"/>
    <w:rsid w:val="00317997"/>
    <w:rsid w:val="003232CE"/>
    <w:rsid w:val="00336704"/>
    <w:rsid w:val="00337512"/>
    <w:rsid w:val="00345760"/>
    <w:rsid w:val="00347F26"/>
    <w:rsid w:val="00350029"/>
    <w:rsid w:val="00351969"/>
    <w:rsid w:val="003519FA"/>
    <w:rsid w:val="00352670"/>
    <w:rsid w:val="0038009F"/>
    <w:rsid w:val="003A3529"/>
    <w:rsid w:val="003A4C20"/>
    <w:rsid w:val="003B44EA"/>
    <w:rsid w:val="003B476A"/>
    <w:rsid w:val="003C4582"/>
    <w:rsid w:val="003C75FA"/>
    <w:rsid w:val="003C7628"/>
    <w:rsid w:val="003D2D79"/>
    <w:rsid w:val="003E7742"/>
    <w:rsid w:val="003F7EA0"/>
    <w:rsid w:val="0040015C"/>
    <w:rsid w:val="00401064"/>
    <w:rsid w:val="00422268"/>
    <w:rsid w:val="00444AB9"/>
    <w:rsid w:val="00456145"/>
    <w:rsid w:val="0049232A"/>
    <w:rsid w:val="00496A94"/>
    <w:rsid w:val="004A0374"/>
    <w:rsid w:val="004A2F71"/>
    <w:rsid w:val="004A3FB9"/>
    <w:rsid w:val="004A412B"/>
    <w:rsid w:val="004F5AF0"/>
    <w:rsid w:val="00504C70"/>
    <w:rsid w:val="00511796"/>
    <w:rsid w:val="00511CCF"/>
    <w:rsid w:val="005124A3"/>
    <w:rsid w:val="0052025B"/>
    <w:rsid w:val="00537416"/>
    <w:rsid w:val="00541C6B"/>
    <w:rsid w:val="00543D8A"/>
    <w:rsid w:val="00547A5E"/>
    <w:rsid w:val="0056531C"/>
    <w:rsid w:val="00581C53"/>
    <w:rsid w:val="005926DD"/>
    <w:rsid w:val="005A1885"/>
    <w:rsid w:val="005A5602"/>
    <w:rsid w:val="005B0391"/>
    <w:rsid w:val="005B1616"/>
    <w:rsid w:val="005B7789"/>
    <w:rsid w:val="005C792B"/>
    <w:rsid w:val="005E191C"/>
    <w:rsid w:val="005E25EC"/>
    <w:rsid w:val="005F1CF4"/>
    <w:rsid w:val="005F3837"/>
    <w:rsid w:val="0060258D"/>
    <w:rsid w:val="00614FB5"/>
    <w:rsid w:val="00622118"/>
    <w:rsid w:val="00631747"/>
    <w:rsid w:val="00644F42"/>
    <w:rsid w:val="00664FB9"/>
    <w:rsid w:val="006774F9"/>
    <w:rsid w:val="00685566"/>
    <w:rsid w:val="006917D0"/>
    <w:rsid w:val="00694A97"/>
    <w:rsid w:val="006B3256"/>
    <w:rsid w:val="006C09A0"/>
    <w:rsid w:val="006C60E2"/>
    <w:rsid w:val="006E5E2E"/>
    <w:rsid w:val="006E7350"/>
    <w:rsid w:val="006F6938"/>
    <w:rsid w:val="00713AA0"/>
    <w:rsid w:val="007336DA"/>
    <w:rsid w:val="00733E84"/>
    <w:rsid w:val="00740565"/>
    <w:rsid w:val="007613D8"/>
    <w:rsid w:val="007635BF"/>
    <w:rsid w:val="007A0340"/>
    <w:rsid w:val="007B3039"/>
    <w:rsid w:val="007B6A2A"/>
    <w:rsid w:val="007C5989"/>
    <w:rsid w:val="007D2891"/>
    <w:rsid w:val="007D34CE"/>
    <w:rsid w:val="007E45A3"/>
    <w:rsid w:val="007F0A62"/>
    <w:rsid w:val="007F3954"/>
    <w:rsid w:val="007F44DD"/>
    <w:rsid w:val="00800EC9"/>
    <w:rsid w:val="00811F86"/>
    <w:rsid w:val="00815CB2"/>
    <w:rsid w:val="0084666C"/>
    <w:rsid w:val="00847E52"/>
    <w:rsid w:val="00852969"/>
    <w:rsid w:val="00865E9D"/>
    <w:rsid w:val="00867703"/>
    <w:rsid w:val="00872217"/>
    <w:rsid w:val="00877D9E"/>
    <w:rsid w:val="00884470"/>
    <w:rsid w:val="00890381"/>
    <w:rsid w:val="008A39D0"/>
    <w:rsid w:val="008A5D40"/>
    <w:rsid w:val="008B0850"/>
    <w:rsid w:val="008B5DD7"/>
    <w:rsid w:val="008C3A32"/>
    <w:rsid w:val="008C5E91"/>
    <w:rsid w:val="008D4D50"/>
    <w:rsid w:val="008D7B46"/>
    <w:rsid w:val="008F39B4"/>
    <w:rsid w:val="009030EC"/>
    <w:rsid w:val="00903375"/>
    <w:rsid w:val="009035BE"/>
    <w:rsid w:val="009272E9"/>
    <w:rsid w:val="00932816"/>
    <w:rsid w:val="00944147"/>
    <w:rsid w:val="00955476"/>
    <w:rsid w:val="009562EE"/>
    <w:rsid w:val="00964A95"/>
    <w:rsid w:val="00983C62"/>
    <w:rsid w:val="00993723"/>
    <w:rsid w:val="009A4DDA"/>
    <w:rsid w:val="009A7C07"/>
    <w:rsid w:val="009B17B3"/>
    <w:rsid w:val="009B3DE2"/>
    <w:rsid w:val="009B6A07"/>
    <w:rsid w:val="009C3F83"/>
    <w:rsid w:val="009C434E"/>
    <w:rsid w:val="009E18A6"/>
    <w:rsid w:val="009E3EC2"/>
    <w:rsid w:val="009F3A5E"/>
    <w:rsid w:val="009F5607"/>
    <w:rsid w:val="00A05963"/>
    <w:rsid w:val="00A3014E"/>
    <w:rsid w:val="00A36C3E"/>
    <w:rsid w:val="00A600EB"/>
    <w:rsid w:val="00A638AD"/>
    <w:rsid w:val="00AA57EA"/>
    <w:rsid w:val="00AB1A1D"/>
    <w:rsid w:val="00AD683A"/>
    <w:rsid w:val="00AE711E"/>
    <w:rsid w:val="00AE7E94"/>
    <w:rsid w:val="00AF6BA7"/>
    <w:rsid w:val="00B24BEB"/>
    <w:rsid w:val="00B3424E"/>
    <w:rsid w:val="00B350C4"/>
    <w:rsid w:val="00B43DBD"/>
    <w:rsid w:val="00B529BC"/>
    <w:rsid w:val="00B65044"/>
    <w:rsid w:val="00B77C19"/>
    <w:rsid w:val="00B8315E"/>
    <w:rsid w:val="00BB26F5"/>
    <w:rsid w:val="00BB364E"/>
    <w:rsid w:val="00BC0653"/>
    <w:rsid w:val="00BC2606"/>
    <w:rsid w:val="00BC441D"/>
    <w:rsid w:val="00BD60D5"/>
    <w:rsid w:val="00C03BA2"/>
    <w:rsid w:val="00C06D82"/>
    <w:rsid w:val="00C1619B"/>
    <w:rsid w:val="00C2006F"/>
    <w:rsid w:val="00C30EC4"/>
    <w:rsid w:val="00C32CC8"/>
    <w:rsid w:val="00C67825"/>
    <w:rsid w:val="00C84257"/>
    <w:rsid w:val="00C84BEA"/>
    <w:rsid w:val="00C91B3A"/>
    <w:rsid w:val="00CB2598"/>
    <w:rsid w:val="00CC2268"/>
    <w:rsid w:val="00CC6015"/>
    <w:rsid w:val="00CE45D6"/>
    <w:rsid w:val="00CE620A"/>
    <w:rsid w:val="00CE7573"/>
    <w:rsid w:val="00CF45D7"/>
    <w:rsid w:val="00CF6A03"/>
    <w:rsid w:val="00D3090B"/>
    <w:rsid w:val="00D30F4B"/>
    <w:rsid w:val="00D41A7C"/>
    <w:rsid w:val="00D45D08"/>
    <w:rsid w:val="00D516E9"/>
    <w:rsid w:val="00D67BB3"/>
    <w:rsid w:val="00D75489"/>
    <w:rsid w:val="00D85411"/>
    <w:rsid w:val="00D910A5"/>
    <w:rsid w:val="00D912E4"/>
    <w:rsid w:val="00D917FB"/>
    <w:rsid w:val="00DA08C7"/>
    <w:rsid w:val="00DB0EEA"/>
    <w:rsid w:val="00DC4C8D"/>
    <w:rsid w:val="00DC5663"/>
    <w:rsid w:val="00DC73A2"/>
    <w:rsid w:val="00DF3208"/>
    <w:rsid w:val="00DF5FBF"/>
    <w:rsid w:val="00E04E96"/>
    <w:rsid w:val="00E076CB"/>
    <w:rsid w:val="00E26A69"/>
    <w:rsid w:val="00E2771B"/>
    <w:rsid w:val="00E4411A"/>
    <w:rsid w:val="00E63AF6"/>
    <w:rsid w:val="00E76D8D"/>
    <w:rsid w:val="00EA311D"/>
    <w:rsid w:val="00EA6812"/>
    <w:rsid w:val="00EB04D0"/>
    <w:rsid w:val="00EB3727"/>
    <w:rsid w:val="00EB3DD7"/>
    <w:rsid w:val="00EC0B86"/>
    <w:rsid w:val="00EC72EE"/>
    <w:rsid w:val="00ED665E"/>
    <w:rsid w:val="00EF479E"/>
    <w:rsid w:val="00F3357A"/>
    <w:rsid w:val="00F351B0"/>
    <w:rsid w:val="00F43B95"/>
    <w:rsid w:val="00F52BC3"/>
    <w:rsid w:val="00F55064"/>
    <w:rsid w:val="00F7348B"/>
    <w:rsid w:val="00F81980"/>
    <w:rsid w:val="00FA604F"/>
    <w:rsid w:val="00FC0C00"/>
    <w:rsid w:val="00FC7840"/>
    <w:rsid w:val="00FD0454"/>
    <w:rsid w:val="00FD5524"/>
    <w:rsid w:val="00FE3789"/>
    <w:rsid w:val="00FF77F0"/>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40E1F"/>
  <w15:docId w15:val="{6954D616-B13D-4CD1-BE8E-1CB6D78AF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B95"/>
    <w:rPr>
      <w:rFonts w:ascii="Calibri" w:eastAsia="Calibri" w:hAnsi="Calibri" w:cs="Times New Roman"/>
      <w:lang w:val="en-US"/>
    </w:rPr>
  </w:style>
  <w:style w:type="paragraph" w:styleId="Heading1">
    <w:name w:val="heading 1"/>
    <w:basedOn w:val="Normal"/>
    <w:next w:val="Normal"/>
    <w:link w:val="Heading1Char"/>
    <w:uiPriority w:val="9"/>
    <w:qFormat/>
    <w:rsid w:val="009272E9"/>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613D8"/>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autoRedefine/>
    <w:uiPriority w:val="9"/>
    <w:qFormat/>
    <w:rsid w:val="006E7350"/>
    <w:pPr>
      <w:numPr>
        <w:numId w:val="1"/>
      </w:numPr>
      <w:pBdr>
        <w:bottom w:val="single" w:sz="4" w:space="1" w:color="auto"/>
      </w:pBdr>
      <w:tabs>
        <w:tab w:val="left" w:pos="1620"/>
      </w:tabs>
      <w:spacing w:after="0"/>
      <w:ind w:left="720" w:hanging="720"/>
      <w:jc w:val="both"/>
      <w:outlineLvl w:val="2"/>
    </w:pPr>
    <w:rPr>
      <w:rFonts w:eastAsiaTheme="minorEastAsia" w:cstheme="minorHAnsi"/>
      <w:b/>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43B95"/>
    <w:pPr>
      <w:tabs>
        <w:tab w:val="center" w:pos="4680"/>
        <w:tab w:val="right" w:pos="9360"/>
      </w:tabs>
      <w:spacing w:after="0" w:line="240" w:lineRule="auto"/>
    </w:pPr>
  </w:style>
  <w:style w:type="character" w:customStyle="1" w:styleId="HeaderChar">
    <w:name w:val="Header Char"/>
    <w:basedOn w:val="DefaultParagraphFont"/>
    <w:link w:val="Header"/>
    <w:rsid w:val="00F43B95"/>
    <w:rPr>
      <w:rFonts w:ascii="Calibri" w:eastAsia="Calibri" w:hAnsi="Calibri" w:cs="Times New Roman"/>
      <w:lang w:val="en-US"/>
    </w:rPr>
  </w:style>
  <w:style w:type="paragraph" w:styleId="BalloonText">
    <w:name w:val="Balloon Text"/>
    <w:basedOn w:val="Normal"/>
    <w:link w:val="BalloonTextChar"/>
    <w:uiPriority w:val="99"/>
    <w:semiHidden/>
    <w:unhideWhenUsed/>
    <w:rsid w:val="00F43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B95"/>
    <w:rPr>
      <w:rFonts w:ascii="Tahoma" w:eastAsia="Calibri" w:hAnsi="Tahoma" w:cs="Tahoma"/>
      <w:sz w:val="16"/>
      <w:szCs w:val="16"/>
      <w:lang w:val="en-US"/>
    </w:rPr>
  </w:style>
  <w:style w:type="table" w:styleId="TableGrid">
    <w:name w:val="Table Grid"/>
    <w:basedOn w:val="TableNormal"/>
    <w:uiPriority w:val="59"/>
    <w:rsid w:val="00F43B95"/>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E7350"/>
    <w:rPr>
      <w:rFonts w:ascii="Calibri" w:eastAsiaTheme="minorEastAsia" w:hAnsi="Calibri" w:cstheme="minorHAnsi"/>
      <w:b/>
      <w:kern w:val="28"/>
      <w:lang w:val="en-US"/>
    </w:rPr>
  </w:style>
  <w:style w:type="paragraph" w:styleId="ListParagraph">
    <w:name w:val="List Paragraph"/>
    <w:aliases w:val="List Paragraph1,References,Bullet list,IFCL - List Paragraph,Bullets,Heading,Cuadrícula clara - Énfasis 31,Project Profile name,Akapit z listą BS,List Paragraph - Dani,List Paragraph 1 - Dani,Table/Figure Heading,En tête 1,Dot pt,Bullet 1"/>
    <w:basedOn w:val="Normal"/>
    <w:link w:val="ListParagraphChar"/>
    <w:uiPriority w:val="34"/>
    <w:qFormat/>
    <w:rsid w:val="0017432A"/>
    <w:pPr>
      <w:ind w:left="720"/>
      <w:contextualSpacing/>
    </w:pPr>
  </w:style>
  <w:style w:type="character" w:customStyle="1" w:styleId="ListParagraphChar">
    <w:name w:val="List Paragraph Char"/>
    <w:aliases w:val="List Paragraph1 Char,References Char,Bullet list Char,IFCL - List Paragraph Char,Bullets Char,Heading Char,Cuadrícula clara - Énfasis 31 Char,Project Profile name Char,Akapit z listą BS Char,List Paragraph - Dani Char,En tête 1 Char"/>
    <w:link w:val="ListParagraph"/>
    <w:uiPriority w:val="34"/>
    <w:qFormat/>
    <w:locked/>
    <w:rsid w:val="00D516E9"/>
    <w:rPr>
      <w:rFonts w:ascii="Calibri" w:eastAsia="Calibri" w:hAnsi="Calibri" w:cs="Times New Roman"/>
      <w:lang w:val="en-US"/>
    </w:rPr>
  </w:style>
  <w:style w:type="character" w:styleId="Hyperlink">
    <w:name w:val="Hyperlink"/>
    <w:uiPriority w:val="99"/>
    <w:unhideWhenUsed/>
    <w:rsid w:val="001E3CD3"/>
    <w:rPr>
      <w:color w:val="0000FF"/>
      <w:u w:val="single"/>
    </w:rPr>
  </w:style>
  <w:style w:type="paragraph" w:customStyle="1" w:styleId="p28">
    <w:name w:val="p28"/>
    <w:basedOn w:val="Normal"/>
    <w:rsid w:val="00053760"/>
    <w:pPr>
      <w:widowControl w:val="0"/>
      <w:tabs>
        <w:tab w:val="left" w:pos="680"/>
        <w:tab w:val="left" w:pos="1060"/>
      </w:tabs>
      <w:spacing w:after="0" w:line="240" w:lineRule="atLeast"/>
      <w:ind w:left="432" w:hanging="288"/>
    </w:pPr>
    <w:rPr>
      <w:rFonts w:ascii="Times New Roman" w:eastAsia="Times New Roman" w:hAnsi="Times New Roman"/>
      <w:snapToGrid w:val="0"/>
      <w:sz w:val="24"/>
      <w:szCs w:val="20"/>
    </w:rPr>
  </w:style>
  <w:style w:type="character" w:styleId="CommentReference">
    <w:name w:val="annotation reference"/>
    <w:basedOn w:val="DefaultParagraphFont"/>
    <w:uiPriority w:val="99"/>
    <w:semiHidden/>
    <w:unhideWhenUsed/>
    <w:rsid w:val="00C67825"/>
    <w:rPr>
      <w:sz w:val="16"/>
      <w:szCs w:val="16"/>
    </w:rPr>
  </w:style>
  <w:style w:type="paragraph" w:styleId="CommentText">
    <w:name w:val="annotation text"/>
    <w:basedOn w:val="Normal"/>
    <w:link w:val="CommentTextChar"/>
    <w:uiPriority w:val="99"/>
    <w:unhideWhenUsed/>
    <w:rsid w:val="00C67825"/>
    <w:pPr>
      <w:spacing w:line="240" w:lineRule="auto"/>
    </w:pPr>
    <w:rPr>
      <w:sz w:val="20"/>
      <w:szCs w:val="20"/>
    </w:rPr>
  </w:style>
  <w:style w:type="character" w:customStyle="1" w:styleId="CommentTextChar">
    <w:name w:val="Comment Text Char"/>
    <w:basedOn w:val="DefaultParagraphFont"/>
    <w:link w:val="CommentText"/>
    <w:uiPriority w:val="99"/>
    <w:rsid w:val="00C67825"/>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67825"/>
    <w:rPr>
      <w:b/>
      <w:bCs/>
    </w:rPr>
  </w:style>
  <w:style w:type="character" w:customStyle="1" w:styleId="CommentSubjectChar">
    <w:name w:val="Comment Subject Char"/>
    <w:basedOn w:val="CommentTextChar"/>
    <w:link w:val="CommentSubject"/>
    <w:uiPriority w:val="99"/>
    <w:semiHidden/>
    <w:rsid w:val="00C67825"/>
    <w:rPr>
      <w:rFonts w:ascii="Calibri" w:eastAsia="Calibri" w:hAnsi="Calibri" w:cs="Times New Roman"/>
      <w:b/>
      <w:bCs/>
      <w:sz w:val="20"/>
      <w:szCs w:val="20"/>
      <w:lang w:val="en-US"/>
    </w:rPr>
  </w:style>
  <w:style w:type="character" w:customStyle="1" w:styleId="apple-converted-space">
    <w:name w:val="apple-converted-space"/>
    <w:basedOn w:val="DefaultParagraphFont"/>
    <w:rsid w:val="00A3014E"/>
  </w:style>
  <w:style w:type="paragraph" w:styleId="PlainText">
    <w:name w:val="Plain Text"/>
    <w:basedOn w:val="Normal"/>
    <w:link w:val="PlainTextChar"/>
    <w:uiPriority w:val="99"/>
    <w:unhideWhenUsed/>
    <w:rsid w:val="0049232A"/>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49232A"/>
    <w:rPr>
      <w:rFonts w:ascii="Calibri" w:hAnsi="Calibri"/>
      <w:szCs w:val="21"/>
      <w:lang w:val="en-US"/>
    </w:rPr>
  </w:style>
  <w:style w:type="paragraph" w:styleId="NoSpacing">
    <w:name w:val="No Spacing"/>
    <w:uiPriority w:val="1"/>
    <w:qFormat/>
    <w:rsid w:val="006E7350"/>
    <w:pPr>
      <w:spacing w:after="0" w:line="240" w:lineRule="auto"/>
    </w:pPr>
    <w:rPr>
      <w:rFonts w:ascii="Arial" w:eastAsia="Times New Roman" w:hAnsi="Arial" w:cs="Times New Roman"/>
      <w:sz w:val="20"/>
      <w:szCs w:val="24"/>
      <w:lang w:val="en-US"/>
    </w:rPr>
  </w:style>
  <w:style w:type="paragraph" w:customStyle="1" w:styleId="Default">
    <w:name w:val="Default"/>
    <w:rsid w:val="006E7350"/>
    <w:pPr>
      <w:autoSpaceDE w:val="0"/>
      <w:autoSpaceDN w:val="0"/>
      <w:adjustRightInd w:val="0"/>
      <w:spacing w:after="0" w:line="240" w:lineRule="auto"/>
    </w:pPr>
    <w:rPr>
      <w:rFonts w:ascii="Calibri" w:eastAsia="Calibri" w:hAnsi="Calibri" w:cs="Calibri"/>
      <w:color w:val="000000"/>
      <w:sz w:val="24"/>
      <w:szCs w:val="24"/>
      <w:lang w:val="en-AU"/>
    </w:rPr>
  </w:style>
  <w:style w:type="paragraph" w:styleId="Footer">
    <w:name w:val="footer"/>
    <w:basedOn w:val="Normal"/>
    <w:link w:val="FooterChar"/>
    <w:uiPriority w:val="99"/>
    <w:rsid w:val="00932816"/>
    <w:pPr>
      <w:tabs>
        <w:tab w:val="center" w:pos="4320"/>
        <w:tab w:val="right" w:pos="8640"/>
      </w:tabs>
      <w:spacing w:after="0" w:line="240" w:lineRule="auto"/>
    </w:pPr>
    <w:rPr>
      <w:rFonts w:ascii="Arial" w:eastAsia="Times New Roman" w:hAnsi="Arial"/>
      <w:sz w:val="20"/>
      <w:szCs w:val="24"/>
    </w:rPr>
  </w:style>
  <w:style w:type="character" w:customStyle="1" w:styleId="FooterChar">
    <w:name w:val="Footer Char"/>
    <w:basedOn w:val="DefaultParagraphFont"/>
    <w:link w:val="Footer"/>
    <w:uiPriority w:val="99"/>
    <w:rsid w:val="00932816"/>
    <w:rPr>
      <w:rFonts w:ascii="Arial" w:eastAsia="Times New Roman" w:hAnsi="Arial" w:cs="Times New Roman"/>
      <w:sz w:val="20"/>
      <w:szCs w:val="24"/>
      <w:lang w:val="en-US"/>
    </w:rPr>
  </w:style>
  <w:style w:type="paragraph" w:customStyle="1" w:styleId="Bullet1">
    <w:name w:val="Bullet1"/>
    <w:basedOn w:val="Normal"/>
    <w:autoRedefine/>
    <w:rsid w:val="00D45D08"/>
    <w:pPr>
      <w:widowControl w:val="0"/>
      <w:numPr>
        <w:numId w:val="3"/>
      </w:numPr>
      <w:spacing w:after="0" w:line="240" w:lineRule="auto"/>
      <w:jc w:val="both"/>
    </w:pPr>
    <w:rPr>
      <w:rFonts w:asciiTheme="minorHAnsi" w:eastAsia="Times New Roman" w:hAnsiTheme="minorHAnsi"/>
      <w:lang w:val="en-GB"/>
    </w:rPr>
  </w:style>
  <w:style w:type="character" w:styleId="UnresolvedMention">
    <w:name w:val="Unresolved Mention"/>
    <w:basedOn w:val="DefaultParagraphFont"/>
    <w:uiPriority w:val="99"/>
    <w:semiHidden/>
    <w:unhideWhenUsed/>
    <w:rsid w:val="00CB2598"/>
    <w:rPr>
      <w:color w:val="605E5C"/>
      <w:shd w:val="clear" w:color="auto" w:fill="E1DFDD"/>
    </w:rPr>
  </w:style>
  <w:style w:type="character" w:styleId="Strong">
    <w:name w:val="Strong"/>
    <w:basedOn w:val="DefaultParagraphFont"/>
    <w:uiPriority w:val="22"/>
    <w:qFormat/>
    <w:rsid w:val="0060258D"/>
    <w:rPr>
      <w:b/>
      <w:bCs/>
    </w:rPr>
  </w:style>
  <w:style w:type="paragraph" w:styleId="NormalWeb">
    <w:name w:val="Normal (Web)"/>
    <w:basedOn w:val="Normal"/>
    <w:uiPriority w:val="99"/>
    <w:rsid w:val="0060258D"/>
    <w:pPr>
      <w:spacing w:beforeLines="1" w:afterLines="1" w:after="0" w:line="240" w:lineRule="auto"/>
    </w:pPr>
    <w:rPr>
      <w:rFonts w:ascii="Times" w:hAnsi="Times"/>
      <w:sz w:val="20"/>
      <w:szCs w:val="20"/>
    </w:rPr>
  </w:style>
  <w:style w:type="character" w:customStyle="1" w:styleId="Heading2Char">
    <w:name w:val="Heading 2 Char"/>
    <w:basedOn w:val="DefaultParagraphFont"/>
    <w:link w:val="Heading2"/>
    <w:uiPriority w:val="9"/>
    <w:rsid w:val="007613D8"/>
    <w:rPr>
      <w:rFonts w:asciiTheme="majorHAnsi" w:eastAsiaTheme="majorEastAsia" w:hAnsiTheme="majorHAnsi" w:cstheme="majorBidi"/>
      <w:color w:val="365F91" w:themeColor="accent1" w:themeShade="BF"/>
      <w:sz w:val="26"/>
      <w:szCs w:val="26"/>
      <w:lang w:val="en-US"/>
    </w:rPr>
  </w:style>
  <w:style w:type="character" w:customStyle="1" w:styleId="Heading1Char">
    <w:name w:val="Heading 1 Char"/>
    <w:basedOn w:val="DefaultParagraphFont"/>
    <w:link w:val="Heading1"/>
    <w:uiPriority w:val="9"/>
    <w:rsid w:val="009272E9"/>
    <w:rPr>
      <w:rFonts w:asciiTheme="majorHAnsi" w:eastAsiaTheme="majorEastAsia" w:hAnsiTheme="majorHAnsi" w:cstheme="majorBidi"/>
      <w:color w:val="365F91" w:themeColor="accent1" w:themeShade="BF"/>
      <w:sz w:val="32"/>
      <w:szCs w:val="32"/>
      <w:lang w:val="en-US"/>
    </w:rPr>
  </w:style>
  <w:style w:type="paragraph" w:styleId="Revision">
    <w:name w:val="Revision"/>
    <w:hidden/>
    <w:uiPriority w:val="99"/>
    <w:semiHidden/>
    <w:rsid w:val="000419D0"/>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382983">
      <w:bodyDiv w:val="1"/>
      <w:marLeft w:val="0"/>
      <w:marRight w:val="0"/>
      <w:marTop w:val="0"/>
      <w:marBottom w:val="0"/>
      <w:divBdr>
        <w:top w:val="none" w:sz="0" w:space="0" w:color="auto"/>
        <w:left w:val="none" w:sz="0" w:space="0" w:color="auto"/>
        <w:bottom w:val="none" w:sz="0" w:space="0" w:color="auto"/>
        <w:right w:val="none" w:sz="0" w:space="0" w:color="auto"/>
      </w:divBdr>
    </w:div>
    <w:div w:id="1001810667">
      <w:bodyDiv w:val="1"/>
      <w:marLeft w:val="0"/>
      <w:marRight w:val="0"/>
      <w:marTop w:val="0"/>
      <w:marBottom w:val="0"/>
      <w:divBdr>
        <w:top w:val="none" w:sz="0" w:space="0" w:color="auto"/>
        <w:left w:val="none" w:sz="0" w:space="0" w:color="auto"/>
        <w:bottom w:val="none" w:sz="0" w:space="0" w:color="auto"/>
        <w:right w:val="none" w:sz="0" w:space="0" w:color="auto"/>
      </w:divBdr>
    </w:div>
    <w:div w:id="1207108230">
      <w:bodyDiv w:val="1"/>
      <w:marLeft w:val="0"/>
      <w:marRight w:val="0"/>
      <w:marTop w:val="0"/>
      <w:marBottom w:val="0"/>
      <w:divBdr>
        <w:top w:val="none" w:sz="0" w:space="0" w:color="auto"/>
        <w:left w:val="none" w:sz="0" w:space="0" w:color="auto"/>
        <w:bottom w:val="none" w:sz="0" w:space="0" w:color="auto"/>
        <w:right w:val="none" w:sz="0" w:space="0" w:color="auto"/>
      </w:divBdr>
    </w:div>
    <w:div w:id="138918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procurement.mw@undp.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tenderbox.mw@undp.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cific.undp.org/content/dam/fiji/docs/Procurement/Confirmation-of-Interest-Submission-of-Financial-Proposal-Template.doc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undp.org/content/undp/en/home/librarypage/capacity-building/undp-capacity-assessment-methodology.html"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mailto:procurement.mw@und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2220</Words>
  <Characters>12657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Nyunt Khaing</dc:creator>
  <cp:lastModifiedBy>Susan Mkandawire</cp:lastModifiedBy>
  <cp:revision>2</cp:revision>
  <cp:lastPrinted>2021-01-28T08:34:00Z</cp:lastPrinted>
  <dcterms:created xsi:type="dcterms:W3CDTF">2021-03-17T13:02:00Z</dcterms:created>
  <dcterms:modified xsi:type="dcterms:W3CDTF">2021-03-17T13:02:00Z</dcterms:modified>
</cp:coreProperties>
</file>