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4D7FB" w14:textId="1E3E86B6" w:rsidR="003B6B5C" w:rsidRPr="003B6B5C" w:rsidRDefault="003B6B5C" w:rsidP="003B6B5C">
      <w:pPr>
        <w:jc w:val="center"/>
        <w:rPr>
          <w:rFonts w:asciiTheme="minorHAnsi" w:hAnsiTheme="minorHAnsi"/>
          <w:b/>
          <w:bCs/>
          <w:sz w:val="28"/>
          <w:szCs w:val="28"/>
          <w:u w:val="single"/>
          <w:lang w:val="bs-Latn-BA"/>
        </w:rPr>
      </w:pPr>
      <w:r w:rsidRPr="003B6B5C">
        <w:rPr>
          <w:rFonts w:asciiTheme="minorHAnsi" w:hAnsiTheme="minorHAnsi"/>
          <w:b/>
          <w:bCs/>
          <w:sz w:val="28"/>
          <w:szCs w:val="28"/>
          <w:u w:val="single"/>
          <w:lang w:val="bs-Latn-BA"/>
        </w:rPr>
        <w:t>Questions and answers for ITB-004-021</w:t>
      </w:r>
    </w:p>
    <w:p w14:paraId="1C723550" w14:textId="66A42FCE" w:rsidR="003B6B5C" w:rsidRPr="003B6B5C" w:rsidRDefault="003B6B5C" w:rsidP="003B6B5C">
      <w:pPr>
        <w:jc w:val="center"/>
        <w:rPr>
          <w:rFonts w:asciiTheme="minorHAnsi" w:eastAsia="Calibri" w:hAnsiTheme="minorHAnsi" w:cs="Segoe UI"/>
          <w:b/>
          <w:bCs/>
          <w:kern w:val="0"/>
          <w:sz w:val="28"/>
          <w:szCs w:val="28"/>
          <w:u w:val="single"/>
        </w:rPr>
      </w:pPr>
      <w:r w:rsidRPr="003B6B5C">
        <w:rPr>
          <w:rFonts w:asciiTheme="minorHAnsi" w:hAnsiTheme="minorHAnsi"/>
          <w:b/>
          <w:bCs/>
          <w:sz w:val="28"/>
          <w:szCs w:val="28"/>
          <w:u w:val="single"/>
          <w:lang w:val="bs-Latn-BA"/>
        </w:rPr>
        <w:t>„</w:t>
      </w:r>
      <w:r w:rsidRPr="003B6B5C">
        <w:rPr>
          <w:rFonts w:asciiTheme="minorHAnsi" w:eastAsia="Calibri" w:hAnsiTheme="minorHAnsi" w:cs="Segoe UI"/>
          <w:b/>
          <w:bCs/>
          <w:kern w:val="0"/>
          <w:sz w:val="28"/>
          <w:szCs w:val="28"/>
          <w:u w:val="single"/>
        </w:rPr>
        <w:t>Supply and delivery of the equipment for detection of illicit weapons, explosives and narcotics”</w:t>
      </w:r>
    </w:p>
    <w:p w14:paraId="34D828F9" w14:textId="3E9B3861" w:rsidR="008B7365" w:rsidRDefault="008B7365" w:rsidP="003B6B5C">
      <w:pPr>
        <w:jc w:val="center"/>
        <w:rPr>
          <w:lang w:val="bs-Latn-BA"/>
        </w:rPr>
      </w:pPr>
    </w:p>
    <w:p w14:paraId="63CEB59B" w14:textId="0C19E962" w:rsidR="003B6B5C" w:rsidRDefault="003B6B5C" w:rsidP="003B6B5C">
      <w:pPr>
        <w:jc w:val="center"/>
        <w:rPr>
          <w:lang w:val="bs-Latn-BA"/>
        </w:rPr>
      </w:pPr>
    </w:p>
    <w:p w14:paraId="79FF2CE5" w14:textId="5257BFCF" w:rsidR="003B6B5C" w:rsidRDefault="003B6B5C" w:rsidP="003B6B5C">
      <w:pPr>
        <w:pStyle w:val="PlainText"/>
        <w:rPr>
          <w:b/>
          <w:bCs/>
          <w:i/>
          <w:iCs/>
        </w:rPr>
      </w:pPr>
      <w:r w:rsidRPr="003B6B5C">
        <w:rPr>
          <w:b/>
          <w:bCs/>
          <w:i/>
          <w:iCs/>
        </w:rPr>
        <w:t>Q1: May we seek clarification for Lot 3 Item 1 20 kits Explosive &amp; Narcotics Detection Kits Please advise what explosives are to be detected?</w:t>
      </w:r>
    </w:p>
    <w:p w14:paraId="0B663AC6" w14:textId="77777777" w:rsidR="004419B6" w:rsidRPr="003B6B5C" w:rsidRDefault="004419B6" w:rsidP="003B6B5C">
      <w:pPr>
        <w:pStyle w:val="PlainText"/>
        <w:rPr>
          <w:b/>
          <w:bCs/>
          <w:i/>
          <w:iCs/>
        </w:rPr>
      </w:pPr>
    </w:p>
    <w:p w14:paraId="4D6A338C" w14:textId="77777777" w:rsidR="003B6B5C" w:rsidRDefault="003B6B5C" w:rsidP="003B6B5C">
      <w:pPr>
        <w:pStyle w:val="PlainText"/>
      </w:pPr>
      <w:r>
        <w:t xml:space="preserve">A1: Types of the explosives that have to be detected with the test </w:t>
      </w:r>
      <w:proofErr w:type="gramStart"/>
      <w:r>
        <w:t>are:</w:t>
      </w:r>
      <w:proofErr w:type="gramEnd"/>
      <w:r>
        <w:t xml:space="preserve"> plastic and military explosives (Semtex, C4, RDX, Pentrit, TNT and others), black powder, homemade explosives, propellants, improvised explosives, and others additional explosives.</w:t>
      </w:r>
    </w:p>
    <w:p w14:paraId="7E48510E" w14:textId="77777777" w:rsidR="003B6B5C" w:rsidRDefault="003B6B5C" w:rsidP="003B6B5C">
      <w:pPr>
        <w:pStyle w:val="PlainText"/>
      </w:pPr>
    </w:p>
    <w:p w14:paraId="375A8610" w14:textId="48CB73C0" w:rsidR="003B6B5C" w:rsidRDefault="003B6B5C" w:rsidP="003B6B5C">
      <w:pPr>
        <w:pStyle w:val="PlainText"/>
        <w:rPr>
          <w:b/>
          <w:bCs/>
          <w:i/>
          <w:iCs/>
        </w:rPr>
      </w:pPr>
      <w:r w:rsidRPr="003B6B5C">
        <w:rPr>
          <w:b/>
          <w:bCs/>
          <w:i/>
          <w:iCs/>
        </w:rPr>
        <w:t>Q2: Please advise what narcotics are to be detected?</w:t>
      </w:r>
    </w:p>
    <w:p w14:paraId="4024798C" w14:textId="77777777" w:rsidR="004419B6" w:rsidRPr="003B6B5C" w:rsidRDefault="004419B6" w:rsidP="003B6B5C">
      <w:pPr>
        <w:pStyle w:val="PlainText"/>
        <w:rPr>
          <w:b/>
          <w:bCs/>
          <w:i/>
          <w:iCs/>
        </w:rPr>
      </w:pPr>
    </w:p>
    <w:p w14:paraId="26D5F6F2" w14:textId="77777777" w:rsidR="003B6B5C" w:rsidRDefault="003B6B5C" w:rsidP="003B6B5C">
      <w:pPr>
        <w:pStyle w:val="PlainText"/>
      </w:pPr>
      <w:r>
        <w:t>A</w:t>
      </w:r>
      <w:proofErr w:type="gramStart"/>
      <w:r>
        <w:t>1:Types</w:t>
      </w:r>
      <w:proofErr w:type="gramEnd"/>
      <w:r>
        <w:t xml:space="preserve"> of the narcotics that have to be detected with the test are: Cocaine, Ecstasy, Heroin, LSD, Amphetamine, THC, Methamphetine, and other additional narcotics.</w:t>
      </w:r>
    </w:p>
    <w:p w14:paraId="796F614D" w14:textId="77777777" w:rsidR="003B6B5C" w:rsidRDefault="003B6B5C" w:rsidP="003B6B5C">
      <w:pPr>
        <w:pStyle w:val="PlainText"/>
      </w:pPr>
    </w:p>
    <w:p w14:paraId="40F4BA70" w14:textId="64F31450" w:rsidR="003B6B5C" w:rsidRDefault="003B6B5C" w:rsidP="003B6B5C">
      <w:pPr>
        <w:pStyle w:val="PlainText"/>
        <w:rPr>
          <w:b/>
          <w:bCs/>
          <w:i/>
          <w:iCs/>
        </w:rPr>
      </w:pPr>
      <w:r w:rsidRPr="003B6B5C">
        <w:rPr>
          <w:b/>
          <w:bCs/>
          <w:i/>
          <w:iCs/>
        </w:rPr>
        <w:t>Q3: Is one kit to comprise of both explosives and narcotics detection items? Or 20x kits narcotics and 20x kits explosives?</w:t>
      </w:r>
    </w:p>
    <w:p w14:paraId="5C5F22EB" w14:textId="77777777" w:rsidR="004419B6" w:rsidRPr="003B6B5C" w:rsidRDefault="004419B6" w:rsidP="003B6B5C">
      <w:pPr>
        <w:pStyle w:val="PlainText"/>
        <w:rPr>
          <w:b/>
          <w:bCs/>
          <w:i/>
          <w:iCs/>
        </w:rPr>
      </w:pPr>
    </w:p>
    <w:p w14:paraId="07A13115" w14:textId="77777777" w:rsidR="003B6B5C" w:rsidRDefault="003B6B5C" w:rsidP="003B6B5C">
      <w:pPr>
        <w:pStyle w:val="PlainText"/>
      </w:pPr>
      <w:r>
        <w:t>A3: Kits for explosives and narcotics should be separately packaged as stipulated in the tender documentation:</w:t>
      </w:r>
    </w:p>
    <w:p w14:paraId="4DE4B6AA" w14:textId="77777777" w:rsidR="003B6B5C" w:rsidRDefault="003B6B5C" w:rsidP="003B6B5C">
      <w:pPr>
        <w:pStyle w:val="PlainText"/>
      </w:pPr>
      <w:r>
        <w:tab/>
        <w:t>•</w:t>
      </w:r>
      <w:r>
        <w:tab/>
        <w:t>A minimum of 20 tests + 10 additional tests for explosives detection.</w:t>
      </w:r>
    </w:p>
    <w:p w14:paraId="5A406EE6" w14:textId="77777777" w:rsidR="003B6B5C" w:rsidRDefault="003B6B5C" w:rsidP="003B6B5C">
      <w:pPr>
        <w:pStyle w:val="PlainText"/>
      </w:pPr>
      <w:r>
        <w:tab/>
        <w:t>•</w:t>
      </w:r>
      <w:r>
        <w:tab/>
        <w:t>A minimum of 20 tests + 10 additional tests for drug detection.</w:t>
      </w:r>
    </w:p>
    <w:p w14:paraId="591B018F" w14:textId="39FDDB63" w:rsidR="003B6B5C" w:rsidRDefault="003B6B5C" w:rsidP="003B6B5C">
      <w:pPr>
        <w:jc w:val="both"/>
        <w:rPr>
          <w:lang w:val="bs-Latn-BA"/>
        </w:rPr>
      </w:pPr>
    </w:p>
    <w:p w14:paraId="074FC360" w14:textId="6E621A02" w:rsidR="003B6B5C" w:rsidRDefault="003B6B5C" w:rsidP="003B6B5C">
      <w:pPr>
        <w:pStyle w:val="PlainText"/>
        <w:rPr>
          <w:b/>
          <w:bCs/>
          <w:i/>
          <w:iCs/>
        </w:rPr>
      </w:pPr>
      <w:r w:rsidRPr="003B6B5C">
        <w:rPr>
          <w:b/>
          <w:bCs/>
          <w:i/>
          <w:iCs/>
        </w:rPr>
        <w:t>Q4: Is it possible to submit a bid security in Euro Currency? If yes, could you please kindly share the exchange rate for BAM to EUR?</w:t>
      </w:r>
    </w:p>
    <w:p w14:paraId="448CB470" w14:textId="77777777" w:rsidR="004419B6" w:rsidRPr="003B6B5C" w:rsidRDefault="004419B6" w:rsidP="003B6B5C">
      <w:pPr>
        <w:pStyle w:val="PlainText"/>
        <w:rPr>
          <w:b/>
          <w:bCs/>
          <w:i/>
          <w:iCs/>
        </w:rPr>
      </w:pPr>
    </w:p>
    <w:p w14:paraId="4A227B92" w14:textId="77777777" w:rsidR="003B6B5C" w:rsidRPr="003B6B5C" w:rsidRDefault="003B6B5C" w:rsidP="003B6B5C">
      <w:pPr>
        <w:rPr>
          <w:rFonts w:asciiTheme="minorHAnsi" w:eastAsiaTheme="minorHAnsi" w:hAnsiTheme="minorHAnsi"/>
          <w:color w:val="000000"/>
          <w:kern w:val="0"/>
          <w:sz w:val="22"/>
          <w:szCs w:val="22"/>
        </w:rPr>
      </w:pPr>
      <w:r w:rsidRPr="003B6B5C">
        <w:rPr>
          <w:rFonts w:asciiTheme="minorHAnsi" w:hAnsiTheme="minorHAnsi"/>
          <w:sz w:val="22"/>
          <w:szCs w:val="22"/>
          <w:lang w:val="bs-Latn-BA"/>
        </w:rPr>
        <w:t xml:space="preserve">A4: </w:t>
      </w:r>
      <w:r w:rsidRPr="003B6B5C">
        <w:rPr>
          <w:rFonts w:asciiTheme="minorHAnsi" w:hAnsiTheme="minorHAnsi"/>
          <w:color w:val="000000"/>
          <w:sz w:val="22"/>
          <w:szCs w:val="22"/>
        </w:rPr>
        <w:t>Bid Security is acceptable in EUR currency as an equivalent to amount in local currency BAM (5,000 BAM for LOTs 1 and 2) as per UN Operational Rate of Exchange (UNORE:</w:t>
      </w:r>
      <w:r w:rsidRPr="003B6B5C">
        <w:rPr>
          <w:rFonts w:asciiTheme="minorHAnsi" w:hAnsiTheme="minorHAnsi"/>
          <w:sz w:val="22"/>
          <w:szCs w:val="22"/>
        </w:rPr>
        <w:t xml:space="preserve"> </w:t>
      </w:r>
      <w:hyperlink r:id="rId9" w:history="1">
        <w:r w:rsidRPr="003B6B5C">
          <w:rPr>
            <w:rStyle w:val="Hyperlink"/>
            <w:rFonts w:asciiTheme="minorHAnsi" w:hAnsiTheme="minorHAnsi"/>
            <w:sz w:val="22"/>
            <w:szCs w:val="22"/>
          </w:rPr>
          <w:t>https://treasury.un.org/operationalrates/OperationalRates.php</w:t>
        </w:r>
      </w:hyperlink>
      <w:r w:rsidRPr="003B6B5C">
        <w:rPr>
          <w:rFonts w:asciiTheme="minorHAnsi" w:hAnsiTheme="minorHAnsi"/>
          <w:color w:val="000000"/>
          <w:sz w:val="22"/>
          <w:szCs w:val="22"/>
        </w:rPr>
        <w:t>) applicable on the date of issuance of bank guarantee.</w:t>
      </w:r>
    </w:p>
    <w:p w14:paraId="5AD63BA8" w14:textId="5FC2B561" w:rsidR="003B6B5C" w:rsidRDefault="003B6B5C" w:rsidP="003B6B5C">
      <w:pPr>
        <w:jc w:val="both"/>
        <w:rPr>
          <w:lang w:val="bs-Latn-BA"/>
        </w:rPr>
      </w:pPr>
    </w:p>
    <w:p w14:paraId="03436085" w14:textId="405346AE" w:rsidR="003B6B5C" w:rsidRDefault="003B6B5C" w:rsidP="003B6B5C">
      <w:pPr>
        <w:pStyle w:val="PlainText"/>
        <w:rPr>
          <w:b/>
          <w:bCs/>
          <w:i/>
          <w:iCs/>
        </w:rPr>
      </w:pPr>
      <w:r w:rsidRPr="003B6B5C">
        <w:rPr>
          <w:b/>
          <w:bCs/>
          <w:i/>
          <w:iCs/>
        </w:rPr>
        <w:t xml:space="preserve">Q5: What is estimated value for LOT1, LOT2, and LOT3, </w:t>
      </w:r>
      <w:proofErr w:type="gramStart"/>
      <w:r w:rsidRPr="003B6B5C">
        <w:rPr>
          <w:b/>
          <w:bCs/>
          <w:i/>
          <w:iCs/>
        </w:rPr>
        <w:t>for  ITB</w:t>
      </w:r>
      <w:proofErr w:type="gramEnd"/>
      <w:r w:rsidRPr="003B6B5C">
        <w:rPr>
          <w:b/>
          <w:bCs/>
          <w:i/>
          <w:iCs/>
        </w:rPr>
        <w:t xml:space="preserve"> nr: 004-21, Supply and delivery of the equipment for detection of illicit weapons, explosives and narcoti</w:t>
      </w:r>
      <w:r w:rsidR="004419B6">
        <w:rPr>
          <w:b/>
          <w:bCs/>
          <w:i/>
          <w:iCs/>
        </w:rPr>
        <w:t>c</w:t>
      </w:r>
      <w:r w:rsidRPr="003B6B5C">
        <w:rPr>
          <w:b/>
          <w:bCs/>
          <w:i/>
          <w:iCs/>
        </w:rPr>
        <w:t xml:space="preserve">s. </w:t>
      </w:r>
    </w:p>
    <w:p w14:paraId="7B40574D" w14:textId="77777777" w:rsidR="004419B6" w:rsidRPr="003B6B5C" w:rsidRDefault="004419B6" w:rsidP="003B6B5C">
      <w:pPr>
        <w:pStyle w:val="PlainText"/>
        <w:rPr>
          <w:b/>
          <w:bCs/>
          <w:i/>
          <w:iCs/>
        </w:rPr>
      </w:pPr>
    </w:p>
    <w:p w14:paraId="4BB52C18" w14:textId="38767332" w:rsidR="003B6B5C" w:rsidRDefault="003B6B5C" w:rsidP="003B6B5C">
      <w:pPr>
        <w:jc w:val="both"/>
        <w:rPr>
          <w:rFonts w:asciiTheme="minorHAnsi" w:hAnsiTheme="minorHAnsi"/>
          <w:sz w:val="22"/>
          <w:szCs w:val="22"/>
          <w:lang w:val="bs-Latn-BA"/>
        </w:rPr>
      </w:pPr>
      <w:r w:rsidRPr="003B6B5C">
        <w:rPr>
          <w:rFonts w:asciiTheme="minorHAnsi" w:hAnsiTheme="minorHAnsi"/>
          <w:sz w:val="22"/>
          <w:szCs w:val="22"/>
          <w:lang w:val="bs-Latn-BA"/>
        </w:rPr>
        <w:t>A5: Requested information cannot be disclosed to any of potential bidders.</w:t>
      </w:r>
    </w:p>
    <w:p w14:paraId="332E1962" w14:textId="0A90A4BD" w:rsidR="003B6B5C" w:rsidRDefault="003B6B5C" w:rsidP="003B6B5C">
      <w:pPr>
        <w:jc w:val="both"/>
        <w:rPr>
          <w:rFonts w:asciiTheme="minorHAnsi" w:hAnsiTheme="minorHAnsi"/>
          <w:sz w:val="22"/>
          <w:szCs w:val="22"/>
          <w:lang w:val="bs-Latn-BA"/>
        </w:rPr>
      </w:pPr>
    </w:p>
    <w:p w14:paraId="76504E21" w14:textId="76C0E22F" w:rsidR="003B6B5C" w:rsidRPr="003B6B5C" w:rsidRDefault="003B6B5C" w:rsidP="003B6B5C">
      <w:pPr>
        <w:pStyle w:val="PlainText"/>
        <w:rPr>
          <w:b/>
          <w:bCs/>
          <w:i/>
          <w:iCs/>
        </w:rPr>
      </w:pPr>
      <w:r w:rsidRPr="003B6B5C">
        <w:rPr>
          <w:b/>
          <w:bCs/>
          <w:i/>
          <w:iCs/>
        </w:rPr>
        <w:t>Q6: Could we receive the quantity of items “Binoculars, Remote Surveillance Cameras and Augmented Vision Binoculars for Long Range Surveillance” as the solicitation does not quantify the item(s)?</w:t>
      </w:r>
    </w:p>
    <w:p w14:paraId="01D24319" w14:textId="77777777" w:rsidR="003B6B5C" w:rsidRDefault="003B6B5C" w:rsidP="003B6B5C"/>
    <w:p w14:paraId="7A64DA57" w14:textId="16535852" w:rsidR="003B6B5C" w:rsidRPr="003B6B5C" w:rsidRDefault="003B6B5C" w:rsidP="003B6B5C">
      <w:pPr>
        <w:rPr>
          <w:rFonts w:asciiTheme="minorHAnsi" w:hAnsiTheme="minorHAnsi"/>
          <w:sz w:val="22"/>
          <w:szCs w:val="22"/>
        </w:rPr>
      </w:pPr>
      <w:r>
        <w:rPr>
          <w:rFonts w:asciiTheme="minorHAnsi" w:hAnsiTheme="minorHAnsi"/>
          <w:sz w:val="22"/>
          <w:szCs w:val="22"/>
        </w:rPr>
        <w:t xml:space="preserve">A6: </w:t>
      </w:r>
      <w:r w:rsidRPr="003B6B5C">
        <w:rPr>
          <w:rFonts w:asciiTheme="minorHAnsi" w:hAnsiTheme="minorHAnsi"/>
          <w:sz w:val="22"/>
          <w:szCs w:val="22"/>
        </w:rPr>
        <w:t>Quantity of enlisted items within LOT 2 - “Binoculars, Remote Surveillance Cameras and Augmented Vision Binoculars for Long Range Surveillance” is as follows:</w:t>
      </w:r>
    </w:p>
    <w:p w14:paraId="0A1927A8" w14:textId="77777777" w:rsidR="003B6B5C" w:rsidRPr="003B6B5C" w:rsidRDefault="003B6B5C" w:rsidP="003B6B5C">
      <w:pPr>
        <w:rPr>
          <w:rFonts w:asciiTheme="minorHAnsi" w:hAnsiTheme="minorHAnsi"/>
          <w:sz w:val="22"/>
          <w:szCs w:val="22"/>
        </w:rPr>
      </w:pPr>
    </w:p>
    <w:p w14:paraId="02131FBE" w14:textId="77777777" w:rsidR="003B6B5C" w:rsidRPr="003B6B5C" w:rsidRDefault="003B6B5C" w:rsidP="004419B6">
      <w:pPr>
        <w:pStyle w:val="ListParagraph"/>
        <w:numPr>
          <w:ilvl w:val="0"/>
          <w:numId w:val="2"/>
        </w:numPr>
        <w:overflowPunct w:val="0"/>
        <w:jc w:val="both"/>
        <w:rPr>
          <w:rFonts w:asciiTheme="minorHAnsi" w:hAnsiTheme="minorHAnsi"/>
        </w:rPr>
      </w:pPr>
      <w:r w:rsidRPr="003B6B5C">
        <w:rPr>
          <w:rFonts w:asciiTheme="minorHAnsi" w:hAnsiTheme="minorHAnsi"/>
        </w:rPr>
        <w:t>Binoculars - 60 pieces,</w:t>
      </w:r>
    </w:p>
    <w:p w14:paraId="32B568FB" w14:textId="77777777" w:rsidR="003B6B5C" w:rsidRPr="003B6B5C" w:rsidRDefault="003B6B5C" w:rsidP="004419B6">
      <w:pPr>
        <w:pStyle w:val="ListParagraph"/>
        <w:numPr>
          <w:ilvl w:val="0"/>
          <w:numId w:val="2"/>
        </w:numPr>
        <w:overflowPunct w:val="0"/>
        <w:jc w:val="both"/>
        <w:rPr>
          <w:rFonts w:asciiTheme="minorHAnsi" w:hAnsiTheme="minorHAnsi"/>
        </w:rPr>
      </w:pPr>
      <w:r w:rsidRPr="003B6B5C">
        <w:rPr>
          <w:rFonts w:asciiTheme="minorHAnsi" w:hAnsiTheme="minorHAnsi"/>
        </w:rPr>
        <w:t>Remote surveillance cameras - 100 pieces,</w:t>
      </w:r>
    </w:p>
    <w:p w14:paraId="74893E6C" w14:textId="77777777" w:rsidR="003B6B5C" w:rsidRPr="003B6B5C" w:rsidRDefault="003B6B5C" w:rsidP="004419B6">
      <w:pPr>
        <w:pStyle w:val="ListParagraph"/>
        <w:numPr>
          <w:ilvl w:val="0"/>
          <w:numId w:val="2"/>
        </w:numPr>
        <w:overflowPunct w:val="0"/>
        <w:jc w:val="both"/>
        <w:rPr>
          <w:rFonts w:asciiTheme="minorHAnsi" w:hAnsiTheme="minorHAnsi"/>
        </w:rPr>
      </w:pPr>
      <w:r w:rsidRPr="003B6B5C">
        <w:rPr>
          <w:rFonts w:asciiTheme="minorHAnsi" w:hAnsiTheme="minorHAnsi"/>
        </w:rPr>
        <w:t>Augmented vison binoculars for long-range surveillance – 6 pieces.</w:t>
      </w:r>
    </w:p>
    <w:p w14:paraId="502CB2E3" w14:textId="77777777" w:rsidR="003B6B5C" w:rsidRPr="003B6B5C" w:rsidRDefault="003B6B5C" w:rsidP="003B6B5C">
      <w:pPr>
        <w:rPr>
          <w:rFonts w:asciiTheme="minorHAnsi" w:hAnsiTheme="minorHAnsi"/>
          <w:sz w:val="22"/>
          <w:szCs w:val="22"/>
        </w:rPr>
      </w:pPr>
      <w:r w:rsidRPr="003B6B5C">
        <w:rPr>
          <w:rFonts w:asciiTheme="minorHAnsi" w:hAnsiTheme="minorHAnsi"/>
          <w:sz w:val="22"/>
          <w:szCs w:val="22"/>
        </w:rPr>
        <w:lastRenderedPageBreak/>
        <w:t>Amended tendering document that reflects abovementioned changes is posted on the e-tendering platform.</w:t>
      </w:r>
    </w:p>
    <w:p w14:paraId="5DD79FD4" w14:textId="77777777" w:rsidR="003B6B5C" w:rsidRDefault="003B6B5C" w:rsidP="003B6B5C"/>
    <w:p w14:paraId="341B8167" w14:textId="6562FC81" w:rsidR="003B6B5C" w:rsidRPr="003B6B5C" w:rsidRDefault="003B6B5C" w:rsidP="003B6B5C">
      <w:pPr>
        <w:pStyle w:val="PlainText"/>
        <w:rPr>
          <w:b/>
          <w:bCs/>
          <w:i/>
          <w:iCs/>
        </w:rPr>
      </w:pPr>
      <w:r w:rsidRPr="003B6B5C">
        <w:rPr>
          <w:b/>
          <w:bCs/>
          <w:i/>
          <w:iCs/>
        </w:rPr>
        <w:t>Q7: For the required two-day Lot 1 training, is it UNDP BIH’s expectation that it is a two-day training for 20 participants, or will there be two one-day trainings for forty total participants meaning 20 on day 1, and 20 new participants on day 2?</w:t>
      </w:r>
    </w:p>
    <w:p w14:paraId="1E4009C9" w14:textId="77777777" w:rsidR="003B6B5C" w:rsidRDefault="003B6B5C" w:rsidP="003B6B5C"/>
    <w:p w14:paraId="19C434CB" w14:textId="3A132A0A" w:rsidR="003B6B5C" w:rsidRPr="003B6B5C" w:rsidRDefault="003B6B5C" w:rsidP="003B6B5C">
      <w:pPr>
        <w:rPr>
          <w:rFonts w:asciiTheme="minorHAnsi" w:hAnsiTheme="minorHAnsi"/>
          <w:sz w:val="22"/>
          <w:szCs w:val="22"/>
        </w:rPr>
      </w:pPr>
      <w:r>
        <w:rPr>
          <w:rFonts w:asciiTheme="minorHAnsi" w:hAnsiTheme="minorHAnsi"/>
          <w:sz w:val="22"/>
          <w:szCs w:val="22"/>
        </w:rPr>
        <w:t xml:space="preserve">A7: </w:t>
      </w:r>
      <w:r w:rsidRPr="003B6B5C">
        <w:rPr>
          <w:rFonts w:asciiTheme="minorHAnsi" w:hAnsiTheme="minorHAnsi"/>
          <w:sz w:val="22"/>
          <w:szCs w:val="22"/>
        </w:rPr>
        <w:t>As stipulated in the tendering documentation, UNDP is expecting the awarded bidder to perform one training in duration of 2 days for 20 participants/ representatives of recipient institutions on the Train-the-Trainer course modality.</w:t>
      </w:r>
    </w:p>
    <w:p w14:paraId="172A223F" w14:textId="77777777" w:rsidR="003B6B5C" w:rsidRDefault="003B6B5C" w:rsidP="003B6B5C">
      <w:pPr>
        <w:jc w:val="both"/>
      </w:pPr>
    </w:p>
    <w:p w14:paraId="46707DD7" w14:textId="5EED925E" w:rsidR="003B6B5C" w:rsidRPr="003B6B5C" w:rsidRDefault="003B6B5C" w:rsidP="003B6B5C">
      <w:pPr>
        <w:pStyle w:val="PlainText"/>
        <w:rPr>
          <w:b/>
          <w:bCs/>
          <w:i/>
          <w:iCs/>
        </w:rPr>
      </w:pPr>
      <w:r>
        <w:rPr>
          <w:b/>
          <w:bCs/>
          <w:i/>
          <w:iCs/>
        </w:rPr>
        <w:t xml:space="preserve">Q8: </w:t>
      </w:r>
      <w:r w:rsidRPr="003B6B5C">
        <w:rPr>
          <w:b/>
          <w:bCs/>
          <w:i/>
          <w:iCs/>
        </w:rPr>
        <w:t>For items requiring export license(s), may take longer than the allotted “Maximum up to 60/90 days from issuance of Purchase Order”. If these items do require such an extended time frame, is this acceptable?</w:t>
      </w:r>
    </w:p>
    <w:p w14:paraId="6498685C" w14:textId="77777777" w:rsidR="003B6B5C" w:rsidRDefault="003B6B5C" w:rsidP="003B6B5C">
      <w:pPr>
        <w:jc w:val="both"/>
      </w:pPr>
    </w:p>
    <w:p w14:paraId="45E887A9" w14:textId="6639AE8A" w:rsidR="003B6B5C" w:rsidRPr="003B6B5C" w:rsidRDefault="003B6B5C" w:rsidP="003B6B5C">
      <w:pPr>
        <w:jc w:val="both"/>
        <w:rPr>
          <w:rFonts w:asciiTheme="minorHAnsi" w:hAnsiTheme="minorHAnsi"/>
          <w:sz w:val="22"/>
          <w:szCs w:val="22"/>
        </w:rPr>
      </w:pPr>
      <w:r>
        <w:rPr>
          <w:rFonts w:asciiTheme="minorHAnsi" w:hAnsiTheme="minorHAnsi"/>
          <w:sz w:val="22"/>
          <w:szCs w:val="22"/>
        </w:rPr>
        <w:t xml:space="preserve">A8: </w:t>
      </w:r>
      <w:r w:rsidRPr="003B6B5C">
        <w:rPr>
          <w:rFonts w:asciiTheme="minorHAnsi" w:hAnsiTheme="minorHAnsi"/>
          <w:sz w:val="22"/>
          <w:szCs w:val="22"/>
        </w:rPr>
        <w:t xml:space="preserve">Awarded bidder is obliged to deliver equipment within 60/90 days from </w:t>
      </w:r>
      <w:r>
        <w:rPr>
          <w:rFonts w:asciiTheme="minorHAnsi" w:hAnsiTheme="minorHAnsi"/>
          <w:sz w:val="22"/>
          <w:szCs w:val="22"/>
        </w:rPr>
        <w:t xml:space="preserve">the </w:t>
      </w:r>
      <w:r w:rsidRPr="003B6B5C">
        <w:rPr>
          <w:rFonts w:asciiTheme="minorHAnsi" w:hAnsiTheme="minorHAnsi"/>
          <w:sz w:val="22"/>
          <w:szCs w:val="22"/>
        </w:rPr>
        <w:t>issuance of Purchase Order and no additional time is allowable. Additional time for delivery may be considered after issuance of Purchase Order and only upon presentation of the solid proof, beyond reasonable doubt, that additional time is crucially needed for delivery of specified equipment. UNDP reserves the right to cancel Purchase Order if assessed that awarded bidder may jeopardize project implementation with extended delivery time.</w:t>
      </w:r>
    </w:p>
    <w:p w14:paraId="04A92A00" w14:textId="77777777" w:rsidR="003B6B5C" w:rsidRDefault="003B6B5C" w:rsidP="003B6B5C">
      <w:pPr>
        <w:jc w:val="both"/>
      </w:pPr>
    </w:p>
    <w:p w14:paraId="68BD000A" w14:textId="7897FA10" w:rsidR="003B6B5C" w:rsidRPr="003B6B5C" w:rsidRDefault="003B6B5C" w:rsidP="003B6B5C">
      <w:pPr>
        <w:pStyle w:val="PlainText"/>
        <w:rPr>
          <w:b/>
          <w:bCs/>
          <w:i/>
          <w:iCs/>
        </w:rPr>
      </w:pPr>
      <w:r>
        <w:rPr>
          <w:b/>
          <w:bCs/>
          <w:i/>
          <w:iCs/>
        </w:rPr>
        <w:t xml:space="preserve">Q9: </w:t>
      </w:r>
      <w:r w:rsidRPr="003B6B5C">
        <w:rPr>
          <w:b/>
          <w:bCs/>
          <w:i/>
          <w:iCs/>
        </w:rPr>
        <w:t xml:space="preserve">Issued on 20 August 2020, Bosnia and Herzegovina procured similar equipment under ITB-016-20 Countering Illicit Arms Trafficking (CIAT) and Halting Arms and Lawbreaking Trader (HALT) Project. </w:t>
      </w:r>
      <w:proofErr w:type="gramStart"/>
      <w:r w:rsidRPr="003B6B5C">
        <w:rPr>
          <w:b/>
          <w:bCs/>
          <w:i/>
          <w:iCs/>
        </w:rPr>
        <w:t>However</w:t>
      </w:r>
      <w:proofErr w:type="gramEnd"/>
      <w:r w:rsidRPr="003B6B5C">
        <w:rPr>
          <w:b/>
          <w:bCs/>
          <w:i/>
          <w:iCs/>
        </w:rPr>
        <w:t xml:space="preserve"> award information that typically is publicly listed on the UNDP Procurement portal cannot be found. Can you please list the awarded dollar amount and winning contractor for that procurement?</w:t>
      </w:r>
    </w:p>
    <w:p w14:paraId="35B768C2" w14:textId="77777777" w:rsidR="003B6B5C" w:rsidRDefault="003B6B5C" w:rsidP="003B6B5C">
      <w:pPr>
        <w:rPr>
          <w:b/>
          <w:bCs/>
        </w:rPr>
      </w:pPr>
    </w:p>
    <w:p w14:paraId="583AAE3F" w14:textId="569D9356" w:rsidR="003B6B5C" w:rsidRPr="003B6B5C" w:rsidRDefault="003B6B5C" w:rsidP="003B6B5C">
      <w:pPr>
        <w:rPr>
          <w:rFonts w:asciiTheme="minorHAnsi" w:hAnsiTheme="minorHAnsi"/>
          <w:sz w:val="22"/>
          <w:szCs w:val="22"/>
        </w:rPr>
      </w:pPr>
      <w:r w:rsidRPr="003B6B5C">
        <w:rPr>
          <w:rFonts w:asciiTheme="minorHAnsi" w:hAnsiTheme="minorHAnsi"/>
          <w:sz w:val="22"/>
          <w:szCs w:val="22"/>
        </w:rPr>
        <w:t>A9: All awarded bidders for every procurement procedure are transparently listed and publicly available at the link below. Please seek carefully for the information available on the list for the results of ITB-016-20:</w:t>
      </w:r>
    </w:p>
    <w:p w14:paraId="2C336C54" w14:textId="77777777" w:rsidR="003B6B5C" w:rsidRPr="003B6B5C" w:rsidRDefault="00625D47" w:rsidP="003B6B5C">
      <w:pPr>
        <w:rPr>
          <w:rFonts w:asciiTheme="minorHAnsi" w:hAnsiTheme="minorHAnsi"/>
          <w:sz w:val="22"/>
          <w:szCs w:val="22"/>
        </w:rPr>
      </w:pPr>
      <w:hyperlink r:id="rId10" w:history="1">
        <w:r w:rsidR="003B6B5C" w:rsidRPr="003B6B5C">
          <w:rPr>
            <w:rStyle w:val="Hyperlink"/>
            <w:rFonts w:asciiTheme="minorHAnsi" w:hAnsiTheme="minorHAnsi"/>
            <w:sz w:val="22"/>
            <w:szCs w:val="22"/>
            <w:lang w:val="pl-PL"/>
          </w:rPr>
          <w:t>https://www.ba.undp.org/content/bosnia_and_herzegovina/en/home/procurement.html</w:t>
        </w:r>
      </w:hyperlink>
    </w:p>
    <w:p w14:paraId="4BCFA8C2" w14:textId="77777777" w:rsidR="003B6B5C" w:rsidRDefault="003B6B5C" w:rsidP="003B6B5C">
      <w:pPr>
        <w:rPr>
          <w:b/>
          <w:bCs/>
        </w:rPr>
      </w:pPr>
    </w:p>
    <w:p w14:paraId="7889F6EF" w14:textId="4E2BBE2F" w:rsidR="003B6B5C" w:rsidRPr="003B6B5C" w:rsidRDefault="003B6B5C" w:rsidP="003B6B5C">
      <w:pPr>
        <w:pStyle w:val="PlainText"/>
        <w:rPr>
          <w:b/>
          <w:bCs/>
          <w:i/>
          <w:iCs/>
        </w:rPr>
      </w:pPr>
      <w:r>
        <w:rPr>
          <w:b/>
          <w:bCs/>
          <w:i/>
          <w:iCs/>
        </w:rPr>
        <w:t xml:space="preserve">Q10: </w:t>
      </w:r>
      <w:r w:rsidRPr="003B6B5C">
        <w:rPr>
          <w:b/>
          <w:bCs/>
          <w:i/>
          <w:iCs/>
        </w:rPr>
        <w:t>Under Section 3. Bid Data Sheet, BDS 6 – Bid Security, the acceptable form of Bid Security listed is a Bank Guarantee.  Will UNDP also accept a Bank Letter of Credit as an alternative form of Bid Security? </w:t>
      </w:r>
    </w:p>
    <w:p w14:paraId="5FD33492" w14:textId="77777777" w:rsidR="003B6B5C" w:rsidRDefault="003B6B5C" w:rsidP="003B6B5C">
      <w:pPr>
        <w:pStyle w:val="ListParagraph"/>
        <w:rPr>
          <w:b/>
          <w:bCs/>
        </w:rPr>
      </w:pPr>
    </w:p>
    <w:p w14:paraId="4494A7B8" w14:textId="2913D401" w:rsidR="003B6B5C" w:rsidRPr="003B6B5C" w:rsidRDefault="003B6B5C" w:rsidP="003B6B5C">
      <w:pPr>
        <w:rPr>
          <w:rFonts w:asciiTheme="minorHAnsi" w:eastAsiaTheme="minorHAnsi" w:hAnsiTheme="minorHAnsi"/>
          <w:sz w:val="22"/>
          <w:szCs w:val="22"/>
        </w:rPr>
      </w:pPr>
      <w:r w:rsidRPr="003B6B5C">
        <w:rPr>
          <w:rFonts w:asciiTheme="minorHAnsi" w:hAnsiTheme="minorHAnsi"/>
          <w:sz w:val="22"/>
          <w:szCs w:val="22"/>
        </w:rPr>
        <w:t xml:space="preserve">A10: Bid security is the only document that must be provided in hard copy by all potential bidders and in the form of bid security stipulated within the tender documentation (Form G). No other form of bid security provision is acceptable. </w:t>
      </w:r>
    </w:p>
    <w:p w14:paraId="6A0C9BDB" w14:textId="34256A6C" w:rsidR="003B6B5C" w:rsidRDefault="003B6B5C" w:rsidP="003B6B5C">
      <w:pPr>
        <w:jc w:val="both"/>
        <w:rPr>
          <w:rFonts w:asciiTheme="minorHAnsi" w:hAnsiTheme="minorHAnsi"/>
          <w:sz w:val="22"/>
          <w:szCs w:val="22"/>
          <w:lang w:val="bs-Latn-BA"/>
        </w:rPr>
      </w:pPr>
    </w:p>
    <w:p w14:paraId="2F15729A" w14:textId="327EA20A" w:rsidR="009F16E7" w:rsidRPr="009F16E7" w:rsidRDefault="009F16E7" w:rsidP="009F16E7">
      <w:pPr>
        <w:pStyle w:val="PlainText"/>
        <w:rPr>
          <w:b/>
          <w:bCs/>
          <w:i/>
          <w:iCs/>
        </w:rPr>
      </w:pPr>
      <w:r>
        <w:rPr>
          <w:b/>
          <w:bCs/>
          <w:i/>
          <w:iCs/>
        </w:rPr>
        <w:t xml:space="preserve">Q11: </w:t>
      </w:r>
      <w:r w:rsidRPr="009F16E7">
        <w:rPr>
          <w:b/>
          <w:bCs/>
          <w:i/>
          <w:iCs/>
        </w:rPr>
        <w:t xml:space="preserve">Can you confirm the thickness of the required evidence bags, normally this is 160 gauge or 40 </w:t>
      </w:r>
      <w:proofErr w:type="gramStart"/>
      <w:r w:rsidRPr="009F16E7">
        <w:rPr>
          <w:b/>
          <w:bCs/>
          <w:i/>
          <w:iCs/>
        </w:rPr>
        <w:t>micron</w:t>
      </w:r>
      <w:proofErr w:type="gramEnd"/>
      <w:r w:rsidRPr="009F16E7">
        <w:rPr>
          <w:b/>
          <w:bCs/>
          <w:i/>
          <w:iCs/>
        </w:rPr>
        <w:t>.</w:t>
      </w:r>
    </w:p>
    <w:p w14:paraId="64DA51DD" w14:textId="77777777" w:rsidR="009F16E7" w:rsidRDefault="009F16E7" w:rsidP="009F16E7">
      <w:pPr>
        <w:rPr>
          <w:rFonts w:asciiTheme="minorHAnsi" w:eastAsiaTheme="minorHAnsi" w:hAnsiTheme="minorHAnsi" w:cstheme="minorBidi"/>
        </w:rPr>
      </w:pPr>
    </w:p>
    <w:p w14:paraId="268375E9" w14:textId="78A37658" w:rsidR="009F16E7" w:rsidRPr="009F16E7" w:rsidRDefault="009F16E7" w:rsidP="009F16E7">
      <w:pPr>
        <w:rPr>
          <w:rFonts w:asciiTheme="minorHAnsi" w:hAnsiTheme="minorHAnsi"/>
          <w:sz w:val="22"/>
          <w:szCs w:val="22"/>
        </w:rPr>
      </w:pPr>
      <w:r>
        <w:rPr>
          <w:rFonts w:asciiTheme="minorHAnsi" w:hAnsiTheme="minorHAnsi"/>
          <w:sz w:val="22"/>
          <w:szCs w:val="22"/>
        </w:rPr>
        <w:t xml:space="preserve">A11: </w:t>
      </w:r>
      <w:r w:rsidRPr="009F16E7">
        <w:rPr>
          <w:rFonts w:asciiTheme="minorHAnsi" w:hAnsiTheme="minorHAnsi"/>
          <w:sz w:val="22"/>
          <w:szCs w:val="22"/>
        </w:rPr>
        <w:t xml:space="preserve">As specified in the technical specification, no requirement for thickness is specified </w:t>
      </w:r>
      <w:proofErr w:type="gramStart"/>
      <w:r w:rsidRPr="009F16E7">
        <w:rPr>
          <w:rFonts w:asciiTheme="minorHAnsi" w:hAnsiTheme="minorHAnsi"/>
          <w:sz w:val="22"/>
          <w:szCs w:val="22"/>
        </w:rPr>
        <w:t>as long as</w:t>
      </w:r>
      <w:proofErr w:type="gramEnd"/>
      <w:r w:rsidRPr="009F16E7">
        <w:rPr>
          <w:rFonts w:asciiTheme="minorHAnsi" w:hAnsiTheme="minorHAnsi"/>
          <w:sz w:val="22"/>
          <w:szCs w:val="22"/>
        </w:rPr>
        <w:t xml:space="preserve"> the evidence bag may serve intended purpose (packing of non-organic items). </w:t>
      </w:r>
    </w:p>
    <w:p w14:paraId="1C4F3155" w14:textId="77777777" w:rsidR="009F16E7" w:rsidRDefault="009F16E7" w:rsidP="009F16E7">
      <w:pPr>
        <w:rPr>
          <w:rFonts w:asciiTheme="minorHAnsi" w:hAnsiTheme="minorHAnsi" w:cstheme="minorBidi"/>
        </w:rPr>
      </w:pPr>
    </w:p>
    <w:p w14:paraId="25243A82" w14:textId="7DF30B75" w:rsidR="009F16E7" w:rsidRPr="00EC434E" w:rsidRDefault="00EC434E" w:rsidP="00EC434E">
      <w:pPr>
        <w:pStyle w:val="PlainText"/>
        <w:rPr>
          <w:b/>
          <w:bCs/>
          <w:i/>
          <w:iCs/>
        </w:rPr>
      </w:pPr>
      <w:r>
        <w:rPr>
          <w:b/>
          <w:bCs/>
          <w:i/>
          <w:iCs/>
        </w:rPr>
        <w:lastRenderedPageBreak/>
        <w:t>Q1</w:t>
      </w:r>
      <w:r>
        <w:rPr>
          <w:b/>
          <w:bCs/>
          <w:i/>
          <w:iCs/>
        </w:rPr>
        <w:t>2</w:t>
      </w:r>
      <w:r>
        <w:rPr>
          <w:b/>
          <w:bCs/>
          <w:i/>
          <w:iCs/>
        </w:rPr>
        <w:t xml:space="preserve">: </w:t>
      </w:r>
      <w:r w:rsidR="009F16E7" w:rsidRPr="00EC434E">
        <w:rPr>
          <w:b/>
          <w:bCs/>
          <w:i/>
          <w:iCs/>
        </w:rPr>
        <w:t>Can you confirm if you also accept nitrile gloves instead of latex? Using Latex gloves is highly unusual due to the allergy risk.</w:t>
      </w:r>
    </w:p>
    <w:p w14:paraId="79E562A4" w14:textId="77777777" w:rsidR="009F16E7" w:rsidRDefault="009F16E7" w:rsidP="009F16E7">
      <w:pPr>
        <w:rPr>
          <w:rFonts w:asciiTheme="minorHAnsi" w:eastAsiaTheme="minorHAnsi" w:hAnsiTheme="minorHAnsi" w:cstheme="minorBidi"/>
        </w:rPr>
      </w:pPr>
    </w:p>
    <w:p w14:paraId="7006307A" w14:textId="36FBD2CE" w:rsidR="009F16E7" w:rsidRPr="00EC434E" w:rsidRDefault="00EC434E" w:rsidP="009F16E7">
      <w:pPr>
        <w:rPr>
          <w:rFonts w:asciiTheme="minorHAnsi" w:hAnsiTheme="minorHAnsi"/>
          <w:sz w:val="22"/>
          <w:szCs w:val="22"/>
        </w:rPr>
      </w:pPr>
      <w:r>
        <w:rPr>
          <w:rFonts w:asciiTheme="minorHAnsi" w:hAnsiTheme="minorHAnsi"/>
          <w:sz w:val="22"/>
          <w:szCs w:val="22"/>
        </w:rPr>
        <w:t xml:space="preserve">A12: </w:t>
      </w:r>
      <w:r w:rsidR="009F16E7" w:rsidRPr="00EC434E">
        <w:rPr>
          <w:rFonts w:asciiTheme="minorHAnsi" w:hAnsiTheme="minorHAnsi"/>
          <w:sz w:val="22"/>
          <w:szCs w:val="22"/>
        </w:rPr>
        <w:t>The specification stipulated latex as desired material and no other material should be offered.</w:t>
      </w:r>
    </w:p>
    <w:p w14:paraId="387E9EC0" w14:textId="77777777" w:rsidR="009F16E7" w:rsidRDefault="009F16E7" w:rsidP="009F16E7">
      <w:pPr>
        <w:rPr>
          <w:rFonts w:asciiTheme="minorHAnsi" w:hAnsiTheme="minorHAnsi" w:cstheme="minorBidi"/>
        </w:rPr>
      </w:pPr>
    </w:p>
    <w:p w14:paraId="6C9CEAEA" w14:textId="5B2BF2DB" w:rsidR="009F16E7" w:rsidRDefault="00EC434E" w:rsidP="00EC434E">
      <w:pPr>
        <w:pStyle w:val="PlainText"/>
        <w:rPr>
          <w:rFonts w:ascii="Arial" w:eastAsia="Times New Roman" w:hAnsi="Arial" w:cs="Arial"/>
          <w:b/>
          <w:bCs/>
          <w:i/>
          <w:iCs/>
          <w:sz w:val="20"/>
          <w:szCs w:val="20"/>
        </w:rPr>
      </w:pPr>
      <w:r>
        <w:rPr>
          <w:b/>
          <w:bCs/>
          <w:i/>
          <w:iCs/>
        </w:rPr>
        <w:t xml:space="preserve">Q13: </w:t>
      </w:r>
      <w:r w:rsidR="009F16E7" w:rsidRPr="00EC434E">
        <w:rPr>
          <w:b/>
          <w:bCs/>
          <w:i/>
          <w:iCs/>
        </w:rPr>
        <w:t>Can you send further specifications of the required protective overall.</w:t>
      </w:r>
    </w:p>
    <w:p w14:paraId="5AECF191" w14:textId="77777777" w:rsidR="009F16E7" w:rsidRDefault="009F16E7" w:rsidP="009F16E7">
      <w:pPr>
        <w:rPr>
          <w:rFonts w:asciiTheme="minorHAnsi" w:eastAsiaTheme="minorHAnsi" w:hAnsiTheme="minorHAnsi" w:cstheme="minorBidi"/>
          <w:sz w:val="22"/>
          <w:szCs w:val="22"/>
        </w:rPr>
      </w:pPr>
    </w:p>
    <w:p w14:paraId="4EFC2A81" w14:textId="2826342F" w:rsidR="009F16E7" w:rsidRPr="00EC434E" w:rsidRDefault="00EC434E" w:rsidP="009F16E7">
      <w:pPr>
        <w:rPr>
          <w:rFonts w:asciiTheme="minorHAnsi" w:hAnsiTheme="minorHAnsi"/>
          <w:sz w:val="22"/>
          <w:szCs w:val="22"/>
        </w:rPr>
      </w:pPr>
      <w:r>
        <w:rPr>
          <w:rFonts w:asciiTheme="minorHAnsi" w:hAnsiTheme="minorHAnsi"/>
          <w:sz w:val="22"/>
          <w:szCs w:val="22"/>
        </w:rPr>
        <w:t xml:space="preserve">A13: </w:t>
      </w:r>
      <w:r w:rsidR="009F16E7" w:rsidRPr="00EC434E">
        <w:rPr>
          <w:rFonts w:asciiTheme="minorHAnsi" w:hAnsiTheme="minorHAnsi"/>
          <w:sz w:val="22"/>
          <w:szCs w:val="22"/>
        </w:rPr>
        <w:t>Protective overall is intended for crime scene investigation used by professional investigators. Further specification to protective overall is not required aside of requested:</w:t>
      </w:r>
    </w:p>
    <w:p w14:paraId="3AF7871B" w14:textId="77777777" w:rsidR="009F16E7" w:rsidRPr="00EC434E" w:rsidRDefault="009F16E7" w:rsidP="009F16E7">
      <w:pPr>
        <w:rPr>
          <w:rFonts w:asciiTheme="minorHAnsi" w:hAnsiTheme="minorHAnsi"/>
          <w:sz w:val="22"/>
          <w:szCs w:val="22"/>
        </w:rPr>
      </w:pPr>
    </w:p>
    <w:p w14:paraId="4506F465" w14:textId="77777777" w:rsidR="009F16E7" w:rsidRPr="00EC434E" w:rsidRDefault="009F16E7" w:rsidP="00EC434E">
      <w:pPr>
        <w:pStyle w:val="ListParagraph"/>
        <w:numPr>
          <w:ilvl w:val="0"/>
          <w:numId w:val="6"/>
        </w:numPr>
        <w:rPr>
          <w:rFonts w:asciiTheme="minorHAnsi" w:eastAsiaTheme="minorEastAsia" w:hAnsiTheme="minorHAnsi"/>
        </w:rPr>
      </w:pPr>
      <w:r w:rsidRPr="00EC434E">
        <w:rPr>
          <w:rFonts w:asciiTheme="minorHAnsi" w:hAnsiTheme="minorHAnsi"/>
        </w:rPr>
        <w:t>Color: white,</w:t>
      </w:r>
    </w:p>
    <w:p w14:paraId="36DA9B83" w14:textId="77777777" w:rsidR="009F16E7" w:rsidRPr="00EC434E" w:rsidRDefault="009F16E7" w:rsidP="00EC434E">
      <w:pPr>
        <w:pStyle w:val="ListParagraph"/>
        <w:numPr>
          <w:ilvl w:val="0"/>
          <w:numId w:val="6"/>
        </w:numPr>
        <w:rPr>
          <w:rFonts w:asciiTheme="minorHAnsi" w:eastAsiaTheme="minorEastAsia" w:hAnsiTheme="minorHAnsi"/>
        </w:rPr>
      </w:pPr>
      <w:r w:rsidRPr="00EC434E">
        <w:rPr>
          <w:rFonts w:asciiTheme="minorHAnsi" w:hAnsiTheme="minorHAnsi"/>
        </w:rPr>
        <w:t>Designed for non-hazardous protection against limited splash and airborne particles.</w:t>
      </w:r>
    </w:p>
    <w:p w14:paraId="7B8CBBBD" w14:textId="77777777" w:rsidR="009F16E7" w:rsidRDefault="009F16E7" w:rsidP="009F16E7">
      <w:pPr>
        <w:rPr>
          <w:rFonts w:ascii="Arial" w:eastAsia="Times New Roman" w:hAnsi="Arial" w:cs="Arial"/>
          <w:sz w:val="20"/>
          <w:szCs w:val="20"/>
        </w:rPr>
      </w:pPr>
    </w:p>
    <w:p w14:paraId="610B48FB" w14:textId="7CF80F78" w:rsidR="009F16E7" w:rsidRPr="00EC434E" w:rsidRDefault="00EC434E" w:rsidP="00EC434E">
      <w:pPr>
        <w:pStyle w:val="PlainText"/>
        <w:rPr>
          <w:b/>
          <w:bCs/>
          <w:i/>
          <w:iCs/>
        </w:rPr>
      </w:pPr>
      <w:r>
        <w:rPr>
          <w:b/>
          <w:bCs/>
          <w:i/>
          <w:iCs/>
        </w:rPr>
        <w:t xml:space="preserve">Q14: </w:t>
      </w:r>
      <w:r w:rsidR="009F16E7" w:rsidRPr="00EC434E">
        <w:rPr>
          <w:b/>
          <w:bCs/>
          <w:i/>
          <w:iCs/>
        </w:rPr>
        <w:t>Can you confirm for short plastic numbers of you need number 1-15 or 1-20 because you have stated the set consist of 15 pcs which is not possible for 1-20.</w:t>
      </w:r>
    </w:p>
    <w:p w14:paraId="08FBA0D3" w14:textId="77777777" w:rsidR="009F16E7" w:rsidRDefault="009F16E7" w:rsidP="009F16E7">
      <w:pPr>
        <w:rPr>
          <w:rFonts w:asciiTheme="minorHAnsi" w:eastAsiaTheme="minorHAnsi" w:hAnsiTheme="minorHAnsi" w:cstheme="minorBidi"/>
          <w:sz w:val="22"/>
          <w:szCs w:val="22"/>
        </w:rPr>
      </w:pPr>
    </w:p>
    <w:p w14:paraId="385577C0" w14:textId="77777777" w:rsidR="009F16E7" w:rsidRPr="00EC434E" w:rsidRDefault="009F16E7" w:rsidP="009F16E7">
      <w:pPr>
        <w:rPr>
          <w:rFonts w:asciiTheme="minorHAnsi" w:hAnsiTheme="minorHAnsi"/>
          <w:sz w:val="22"/>
          <w:szCs w:val="22"/>
        </w:rPr>
      </w:pPr>
      <w:r w:rsidRPr="00EC434E">
        <w:rPr>
          <w:rFonts w:asciiTheme="minorHAnsi" w:hAnsiTheme="minorHAnsi"/>
          <w:sz w:val="22"/>
          <w:szCs w:val="22"/>
        </w:rPr>
        <w:t>Number 15 is a typo error and set of short plastic numbers for investigation photography should contain numbers 1-20.</w:t>
      </w:r>
    </w:p>
    <w:p w14:paraId="1A7078A5" w14:textId="77777777" w:rsidR="009F16E7" w:rsidRPr="003B6B5C" w:rsidRDefault="009F16E7" w:rsidP="003B6B5C">
      <w:pPr>
        <w:jc w:val="both"/>
        <w:rPr>
          <w:rFonts w:asciiTheme="minorHAnsi" w:hAnsiTheme="minorHAnsi"/>
          <w:sz w:val="22"/>
          <w:szCs w:val="22"/>
          <w:lang w:val="bs-Latn-BA"/>
        </w:rPr>
      </w:pPr>
    </w:p>
    <w:sectPr w:rsidR="009F16E7" w:rsidRPr="003B6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C4C6E"/>
    <w:multiLevelType w:val="hybridMultilevel"/>
    <w:tmpl w:val="63368D2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15:restartNumberingAfterBreak="0">
    <w:nsid w:val="09FD5011"/>
    <w:multiLevelType w:val="hybridMultilevel"/>
    <w:tmpl w:val="5EFEBBC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4F3D0FD0"/>
    <w:multiLevelType w:val="hybridMultilevel"/>
    <w:tmpl w:val="C354ED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22B3B43"/>
    <w:multiLevelType w:val="hybridMultilevel"/>
    <w:tmpl w:val="9190BA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894324"/>
    <w:multiLevelType w:val="hybridMultilevel"/>
    <w:tmpl w:val="38CAE9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B5C"/>
    <w:rsid w:val="003B6B5C"/>
    <w:rsid w:val="004419B6"/>
    <w:rsid w:val="00625D47"/>
    <w:rsid w:val="00851B69"/>
    <w:rsid w:val="008B7365"/>
    <w:rsid w:val="00957112"/>
    <w:rsid w:val="009F16E7"/>
    <w:rsid w:val="00EC4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5259"/>
  <w15:chartTrackingRefBased/>
  <w15:docId w15:val="{5FD45BEE-0CE5-4FAF-AE66-5326C216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B5C"/>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B6B5C"/>
    <w:pPr>
      <w:widowControl/>
      <w:overflowPunct/>
      <w:adjustRightInd/>
    </w:pPr>
    <w:rPr>
      <w:rFonts w:ascii="Calibri" w:eastAsiaTheme="minorHAnsi" w:hAnsi="Calibri" w:cstheme="minorBidi"/>
      <w:kern w:val="0"/>
      <w:sz w:val="22"/>
      <w:szCs w:val="21"/>
    </w:rPr>
  </w:style>
  <w:style w:type="character" w:customStyle="1" w:styleId="PlainTextChar">
    <w:name w:val="Plain Text Char"/>
    <w:basedOn w:val="DefaultParagraphFont"/>
    <w:link w:val="PlainText"/>
    <w:uiPriority w:val="99"/>
    <w:semiHidden/>
    <w:rsid w:val="003B6B5C"/>
    <w:rPr>
      <w:rFonts w:ascii="Calibri" w:hAnsi="Calibri"/>
      <w:szCs w:val="21"/>
    </w:rPr>
  </w:style>
  <w:style w:type="character" w:styleId="Hyperlink">
    <w:name w:val="Hyperlink"/>
    <w:basedOn w:val="DefaultParagraphFont"/>
    <w:uiPriority w:val="99"/>
    <w:semiHidden/>
    <w:unhideWhenUsed/>
    <w:rsid w:val="003B6B5C"/>
    <w:rPr>
      <w:color w:val="0563C1"/>
      <w:u w:val="single"/>
    </w:rPr>
  </w:style>
  <w:style w:type="character" w:customStyle="1" w:styleId="ListParagraphChar">
    <w:name w:val="List Paragraph Char"/>
    <w:aliases w:val="List Paragraph (numbered (a)) Char,Lapis Bulleted List Char,Dot pt Char,F5 List Paragraph Char,List Paragraph1 Char,List Paragraph Char Char Char Char,Indicator Text Char,Numbered Para 1 Char,Bullet 1 Char,List Paragraph12 Char"/>
    <w:basedOn w:val="DefaultParagraphFont"/>
    <w:link w:val="ListParagraph"/>
    <w:uiPriority w:val="34"/>
    <w:locked/>
    <w:rsid w:val="003B6B5C"/>
    <w:rPr>
      <w:rFonts w:ascii="Calibri" w:hAnsi="Calibri" w:cs="Calibri"/>
    </w:rPr>
  </w:style>
  <w:style w:type="paragraph" w:styleId="ListParagraph">
    <w:name w:val="List Paragraph"/>
    <w:aliases w:val="List Paragraph (numbered (a)),Lapis Bulleted List,Dot pt,F5 List Paragraph,List Paragraph1,List Paragraph Char Char Char,Indicator Text,Numbered Para 1,Bullet 1,List Paragraph12,Bullet Points,MAIN CONTENT,List 100s,WB Para,L"/>
    <w:basedOn w:val="Normal"/>
    <w:link w:val="ListParagraphChar"/>
    <w:uiPriority w:val="34"/>
    <w:qFormat/>
    <w:rsid w:val="003B6B5C"/>
    <w:pPr>
      <w:widowControl/>
      <w:overflowPunct/>
      <w:adjustRightInd/>
      <w:ind w:left="720"/>
    </w:pPr>
    <w:rPr>
      <w:rFonts w:ascii="Calibri" w:eastAsiaTheme="minorHAnsi" w:hAnsi="Calibri" w:cs="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06543">
      <w:bodyDiv w:val="1"/>
      <w:marLeft w:val="0"/>
      <w:marRight w:val="0"/>
      <w:marTop w:val="0"/>
      <w:marBottom w:val="0"/>
      <w:divBdr>
        <w:top w:val="none" w:sz="0" w:space="0" w:color="auto"/>
        <w:left w:val="none" w:sz="0" w:space="0" w:color="auto"/>
        <w:bottom w:val="none" w:sz="0" w:space="0" w:color="auto"/>
        <w:right w:val="none" w:sz="0" w:space="0" w:color="auto"/>
      </w:divBdr>
    </w:div>
    <w:div w:id="250093169">
      <w:bodyDiv w:val="1"/>
      <w:marLeft w:val="0"/>
      <w:marRight w:val="0"/>
      <w:marTop w:val="0"/>
      <w:marBottom w:val="0"/>
      <w:divBdr>
        <w:top w:val="none" w:sz="0" w:space="0" w:color="auto"/>
        <w:left w:val="none" w:sz="0" w:space="0" w:color="auto"/>
        <w:bottom w:val="none" w:sz="0" w:space="0" w:color="auto"/>
        <w:right w:val="none" w:sz="0" w:space="0" w:color="auto"/>
      </w:divBdr>
    </w:div>
    <w:div w:id="354313173">
      <w:bodyDiv w:val="1"/>
      <w:marLeft w:val="0"/>
      <w:marRight w:val="0"/>
      <w:marTop w:val="0"/>
      <w:marBottom w:val="0"/>
      <w:divBdr>
        <w:top w:val="none" w:sz="0" w:space="0" w:color="auto"/>
        <w:left w:val="none" w:sz="0" w:space="0" w:color="auto"/>
        <w:bottom w:val="none" w:sz="0" w:space="0" w:color="auto"/>
        <w:right w:val="none" w:sz="0" w:space="0" w:color="auto"/>
      </w:divBdr>
    </w:div>
    <w:div w:id="895778642">
      <w:bodyDiv w:val="1"/>
      <w:marLeft w:val="0"/>
      <w:marRight w:val="0"/>
      <w:marTop w:val="0"/>
      <w:marBottom w:val="0"/>
      <w:divBdr>
        <w:top w:val="none" w:sz="0" w:space="0" w:color="auto"/>
        <w:left w:val="none" w:sz="0" w:space="0" w:color="auto"/>
        <w:bottom w:val="none" w:sz="0" w:space="0" w:color="auto"/>
        <w:right w:val="none" w:sz="0" w:space="0" w:color="auto"/>
      </w:divBdr>
    </w:div>
    <w:div w:id="1234581841">
      <w:bodyDiv w:val="1"/>
      <w:marLeft w:val="0"/>
      <w:marRight w:val="0"/>
      <w:marTop w:val="0"/>
      <w:marBottom w:val="0"/>
      <w:divBdr>
        <w:top w:val="none" w:sz="0" w:space="0" w:color="auto"/>
        <w:left w:val="none" w:sz="0" w:space="0" w:color="auto"/>
        <w:bottom w:val="none" w:sz="0" w:space="0" w:color="auto"/>
        <w:right w:val="none" w:sz="0" w:space="0" w:color="auto"/>
      </w:divBdr>
    </w:div>
    <w:div w:id="149383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ur03.safelinks.protection.outlook.com/?url=https%3A%2F%2Fwww.ba.undp.org%2Fcontent%2Fbosnia_and_herzegovina%2Fen%2Fhome%2Fprocurement.html&amp;data=04%7C01%7Cvedad.pinjo%40undp.org%7Ce54fa621b92447bf242f08d8e239549c%7Cb3e5db5e2944483799f57488ace54319%7C0%7C0%7C637508083182742357%7CUnknown%7CTWFpbGZsb3d8eyJWIjoiMC4wLjAwMDAiLCJQIjoiV2luMzIiLCJBTiI6Ik1haWwiLCJXVCI6Mn0%3D%7C1000&amp;sdata=0eQr4WdDxw4Zm8nZ8cKK1O8Ye43MGaiIcAnTTohodLk%3D&amp;reserved=0" TargetMode="External"/><Relationship Id="rId4" Type="http://schemas.openxmlformats.org/officeDocument/2006/relationships/customXml" Target="../customXml/item4.xml"/><Relationship Id="rId9" Type="http://schemas.openxmlformats.org/officeDocument/2006/relationships/hyperlink" Target="https://eur03.safelinks.protection.outlook.com/?url=https%3A%2F%2Ftreasury.un.org%2Foperationalrates%2FOperationalRates.php&amp;data=04%7C01%7Cvedad.pinjo%40undp.org%7Ce683213edfb54e4f79a808d8de498c9c%7Cb3e5db5e2944483799f57488ace54319%7C0%7C0%7C637503754753090132%7CUnknown%7CTWFpbGZsb3d8eyJWIjoiMC4wLjAwMDAiLCJQIjoiV2luMzIiLCJBTiI6Ik1haWwiLCJXVCI6Mn0%3D%7C1000&amp;sdata=MBSQqhimMrMiwRj%2F86EGEWSagdL7xf%2BSGhGEqCJBJDk%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F554D67911A3E419FCEEA1D52F9ABD8" ma:contentTypeVersion="6" ma:contentTypeDescription="Create a new document." ma:contentTypeScope="" ma:versionID="2b5e040a8c982cc2523738e47b877ce5">
  <xsd:schema xmlns:xsd="http://www.w3.org/2001/XMLSchema" xmlns:xs="http://www.w3.org/2001/XMLSchema" xmlns:p="http://schemas.microsoft.com/office/2006/metadata/properties" xmlns:ns2="de777af5-75c5-4059-8842-b3ca2d118c77" xmlns:ns3="c47d9e13-0207-4dab-8b1b-60b604635cff" targetNamespace="http://schemas.microsoft.com/office/2006/metadata/properties" ma:root="true" ma:fieldsID="aaac74cef8f004ddfc4533c1991a733e" ns2:_="" ns3:_="">
    <xsd:import namespace="de777af5-75c5-4059-8842-b3ca2d118c77"/>
    <xsd:import namespace="c47d9e13-0207-4dab-8b1b-60b604635cf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d9e13-0207-4dab-8b1b-60b604635cf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32JKWRRJAUXM-627992134-3392</_dlc_DocId>
    <_dlc_DocIdUrl xmlns="de777af5-75c5-4059-8842-b3ca2d118c77">
      <Url>https://undp.sharepoint.com/teams/BIH/GS/_layouts/15/DocIdRedir.aspx?ID=32JKWRRJAUXM-627992134-3392</Url>
      <Description>32JKWRRJAUXM-627992134-3392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992ADB-5E96-4FFE-8D06-CA9FF72FA42D}">
  <ds:schemaRefs>
    <ds:schemaRef ds:uri="http://schemas.microsoft.com/sharepoint/events"/>
  </ds:schemaRefs>
</ds:datastoreItem>
</file>

<file path=customXml/itemProps2.xml><?xml version="1.0" encoding="utf-8"?>
<ds:datastoreItem xmlns:ds="http://schemas.openxmlformats.org/officeDocument/2006/customXml" ds:itemID="{B75C05ED-28AD-41AF-8C22-ED616873A492}"/>
</file>

<file path=customXml/itemProps3.xml><?xml version="1.0" encoding="utf-8"?>
<ds:datastoreItem xmlns:ds="http://schemas.openxmlformats.org/officeDocument/2006/customXml" ds:itemID="{B3ACA5C5-290F-4BA5-975B-12ED96AE7DAB}">
  <ds:schemaRefs>
    <ds:schemaRef ds:uri="http://schemas.microsoft.com/office/2006/metadata/properties"/>
    <ds:schemaRef ds:uri="http://schemas.microsoft.com/office/infopath/2007/PartnerControls"/>
    <ds:schemaRef ds:uri="de777af5-75c5-4059-8842-b3ca2d118c77"/>
  </ds:schemaRefs>
</ds:datastoreItem>
</file>

<file path=customXml/itemProps4.xml><?xml version="1.0" encoding="utf-8"?>
<ds:datastoreItem xmlns:ds="http://schemas.openxmlformats.org/officeDocument/2006/customXml" ds:itemID="{D3CE9255-5D7F-4391-87DF-CA0E198F5C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Vedad Pinjo</dc:creator>
  <cp:keywords/>
  <dc:description/>
  <cp:lastModifiedBy>Vedad Pinjo</cp:lastModifiedBy>
  <cp:revision>6</cp:revision>
  <dcterms:created xsi:type="dcterms:W3CDTF">2021-03-08T14:36:00Z</dcterms:created>
  <dcterms:modified xsi:type="dcterms:W3CDTF">2021-03-15T12:36:00Z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0x0101005F554D67911A3E419FCEEA1D52F9ABD8</vt:lpwstr>
  </property>
  <property fmtid="{D5CDD505-2E9C-101B-9397-08002B2CF9AE}" pid="3" name="_dlc_DocIdItemGuid">
    <vt:lpwstr>cc5b303c-6abe-4a3d-b0dc-522349dca737</vt:lpwstr>
  </property>
</Properties>
</file>