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16776496" w:leader="none"/>
          <w:tab w:val="left" w:pos="0" w:leader="none"/>
          <w:tab w:val="left" w:pos="720" w:leader="none"/>
          <w:tab w:val="right" w:pos="8640" w:leader="dot"/>
        </w:tabs>
        <w:suppressAutoHyphens w:val="true"/>
        <w:spacing w:before="0" w:after="0" w:line="240"/>
        <w:ind w:right="0" w:left="2160" w:hanging="720"/>
        <w:jc w:val="left"/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</w:pPr>
    </w:p>
    <w:p>
      <w:pPr>
        <w:tabs>
          <w:tab w:val="left" w:pos="16776496" w:leader="none"/>
          <w:tab w:val="left" w:pos="0" w:leader="none"/>
          <w:tab w:val="left" w:pos="720" w:leader="none"/>
          <w:tab w:val="right" w:pos="8640" w:leader="dot"/>
        </w:tabs>
        <w:suppressAutoHyphens w:val="true"/>
        <w:spacing w:before="0" w:after="0" w:line="240"/>
        <w:ind w:right="0" w:left="2160" w:hanging="720"/>
        <w:jc w:val="left"/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</w:pPr>
    </w:p>
    <w:p>
      <w:pPr>
        <w:keepNext w:val="true"/>
        <w:keepLines w:val="true"/>
        <w:spacing w:before="360" w:after="120" w:line="240"/>
        <w:ind w:right="0" w:left="0" w:firstLine="0"/>
        <w:jc w:val="left"/>
        <w:rPr>
          <w:rFonts w:ascii="Arial" w:hAnsi="Arial" w:cs="Arial" w:eastAsia="Arial"/>
          <w:b/>
          <w:color w:val="0092D1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0092D1"/>
          <w:spacing w:val="0"/>
          <w:position w:val="0"/>
          <w:sz w:val="28"/>
          <w:shd w:fill="auto" w:val="clear"/>
        </w:rPr>
        <w:t xml:space="preserve">Section V: Contract Forms</w:t>
      </w:r>
    </w:p>
    <w:p>
      <w:pPr>
        <w:keepNext w:val="true"/>
        <w:keepLines w:val="true"/>
        <w:spacing w:before="360" w:after="120" w:line="240"/>
        <w:ind w:right="0" w:left="0" w:firstLine="0"/>
        <w:jc w:val="left"/>
        <w:rPr>
          <w:rFonts w:ascii="Arial" w:hAnsi="Arial" w:cs="Arial" w:eastAsia="Arial"/>
          <w:b/>
          <w:color w:val="0092D1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0092D1"/>
          <w:spacing w:val="0"/>
          <w:position w:val="0"/>
          <w:sz w:val="28"/>
          <w:shd w:fill="auto" w:val="clear"/>
        </w:rPr>
        <w:t xml:space="preserve">V-1: UNOPS General Conditions of Contract</w:t>
      </w:r>
    </w:p>
    <w:p>
      <w:pPr>
        <w:tabs>
          <w:tab w:val="left" w:pos="16775776" w:leader="none"/>
          <w:tab w:val="left" w:pos="7200" w:leader="none"/>
        </w:tabs>
        <w:suppressAutoHyphens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</w:pPr>
    </w:p>
    <w:p>
      <w:pPr>
        <w:tabs>
          <w:tab w:val="left" w:pos="16775776" w:leader="none"/>
          <w:tab w:val="left" w:pos="7200" w:leader="none"/>
        </w:tabs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En cas de contrat, les conditions générales de contrat suivantes s'appliqueront:</w:t>
      </w:r>
    </w:p>
    <w:p>
      <w:pPr>
        <w:tabs>
          <w:tab w:val="left" w:pos="16775776" w:leader="none"/>
          <w:tab w:val="left" w:pos="7200" w:leader="none"/>
        </w:tabs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16775776" w:leader="none"/>
          <w:tab w:val="left" w:pos="7200" w:leader="none"/>
        </w:tabs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5"/>
        </w:numPr>
        <w:tabs>
          <w:tab w:val="left" w:pos="16775776" w:leader="none"/>
          <w:tab w:val="left" w:pos="7200" w:leader="none"/>
        </w:tabs>
        <w:suppressAutoHyphens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-3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-3"/>
          <w:position w:val="0"/>
          <w:sz w:val="22"/>
          <w:shd w:fill="auto" w:val="clear"/>
        </w:rPr>
        <w:t xml:space="preserve">Les conditions générales de l’UNOPS pour les biens</w:t>
      </w:r>
    </w:p>
    <w:p>
      <w:pPr>
        <w:tabs>
          <w:tab w:val="left" w:pos="16775776" w:leader="none"/>
          <w:tab w:val="left" w:pos="7200" w:leader="none"/>
        </w:tabs>
        <w:suppressAutoHyphens w:val="true"/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-3"/>
          <w:position w:val="0"/>
          <w:sz w:val="22"/>
          <w:shd w:fill="auto" w:val="clear"/>
        </w:rPr>
      </w:pPr>
    </w:p>
    <w:p>
      <w:pPr>
        <w:tabs>
          <w:tab w:val="left" w:pos="16775776" w:leader="none"/>
          <w:tab w:val="left" w:pos="7200" w:leader="none"/>
        </w:tabs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20"/>
          <w:shd w:fill="auto" w:val="clear"/>
        </w:rPr>
        <w:t xml:space="preserve">Les conditions sont disponibles à : </w:t>
      </w:r>
      <w:hyperlink xmlns:r="http://schemas.openxmlformats.org/officeDocument/2006/relationships" r:id="docRId0">
        <w:r>
          <w:rPr>
            <w:rFonts w:ascii="Arial" w:hAnsi="Arial" w:cs="Arial" w:eastAsia="Arial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https://content.unops.org/service-Line-Documents/Procurement/UNOPS-General-Conditions-Goods-2017_EN.PDF</w:t>
        </w:r>
      </w:hyperlink>
    </w:p>
    <w:p>
      <w:pPr>
        <w:tabs>
          <w:tab w:val="left" w:pos="16776496" w:leader="none"/>
          <w:tab w:val="left" w:pos="0" w:leader="none"/>
          <w:tab w:val="left" w:pos="720" w:leader="none"/>
          <w:tab w:val="right" w:pos="8640" w:leader="dot"/>
        </w:tabs>
        <w:suppressAutoHyphens w:val="true"/>
        <w:spacing w:before="0" w:after="0" w:line="240"/>
        <w:ind w:right="0" w:left="2160" w:hanging="720"/>
        <w:jc w:val="left"/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</w:pPr>
    </w:p>
    <w:p>
      <w:pPr>
        <w:tabs>
          <w:tab w:val="left" w:pos="16776496" w:leader="none"/>
          <w:tab w:val="left" w:pos="0" w:leader="none"/>
          <w:tab w:val="left" w:pos="720" w:leader="none"/>
          <w:tab w:val="right" w:pos="8640" w:leader="dot"/>
        </w:tabs>
        <w:suppressAutoHyphens w:val="true"/>
        <w:spacing w:before="0" w:after="0" w:line="240"/>
        <w:ind w:right="0" w:left="2160" w:hanging="720"/>
        <w:jc w:val="left"/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</w:pPr>
    </w:p>
    <w:p>
      <w:pPr>
        <w:tabs>
          <w:tab w:val="left" w:pos="16776496" w:leader="none"/>
          <w:tab w:val="left" w:pos="0" w:leader="none"/>
          <w:tab w:val="left" w:pos="720" w:leader="none"/>
          <w:tab w:val="right" w:pos="8640" w:leader="dot"/>
        </w:tabs>
        <w:suppressAutoHyphens w:val="true"/>
        <w:spacing w:before="0" w:after="0" w:line="240"/>
        <w:ind w:right="0" w:left="2160" w:hanging="720"/>
        <w:jc w:val="left"/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</w:pPr>
    </w:p>
    <w:p>
      <w:pPr>
        <w:tabs>
          <w:tab w:val="left" w:pos="16776496" w:leader="none"/>
          <w:tab w:val="left" w:pos="0" w:leader="none"/>
          <w:tab w:val="left" w:pos="720" w:leader="none"/>
          <w:tab w:val="right" w:pos="8640" w:leader="dot"/>
        </w:tabs>
        <w:suppressAutoHyphens w:val="true"/>
        <w:spacing w:before="0" w:after="0" w:line="240"/>
        <w:ind w:right="0" w:left="2160" w:hanging="720"/>
        <w:jc w:val="left"/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</w:pPr>
    </w:p>
    <w:p>
      <w:pPr>
        <w:tabs>
          <w:tab w:val="left" w:pos="16776496" w:leader="none"/>
          <w:tab w:val="left" w:pos="0" w:leader="none"/>
          <w:tab w:val="left" w:pos="720" w:leader="none"/>
          <w:tab w:val="right" w:pos="8640" w:leader="dot"/>
        </w:tabs>
        <w:suppressAutoHyphens w:val="true"/>
        <w:spacing w:before="0" w:after="0" w:line="240"/>
        <w:ind w:right="0" w:left="2160" w:hanging="720"/>
        <w:jc w:val="left"/>
        <w:rPr>
          <w:rFonts w:ascii="Arial" w:hAnsi="Arial" w:cs="Arial" w:eastAsia="Arial"/>
          <w:b/>
          <w:color w:val="auto"/>
          <w:spacing w:val="-2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content.unops.org/service-Line-Documents/Procurement/UNOPS-General-Conditions-Goods-2017_EN.PDF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