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C6E24" w14:textId="59EFFB52" w:rsidR="00D9426A" w:rsidRPr="00101774" w:rsidRDefault="00270220" w:rsidP="009B651C">
      <w:pPr>
        <w:pStyle w:val="RFQHeadings"/>
        <w:spacing w:before="120"/>
        <w:rPr>
          <w:rFonts w:asciiTheme="minorHAnsi" w:hAnsiTheme="minorHAnsi" w:cstheme="minorHAnsi"/>
          <w:sz w:val="22"/>
          <w:szCs w:val="22"/>
        </w:rPr>
      </w:pPr>
      <w:r>
        <w:rPr>
          <w:rFonts w:asciiTheme="minorHAnsi" w:hAnsiTheme="minorHAnsi" w:cstheme="minorHAnsi"/>
          <w:sz w:val="22"/>
          <w:szCs w:val="22"/>
        </w:rPr>
        <w:t>TERMS OF REFERENCE (TOR)</w:t>
      </w:r>
    </w:p>
    <w:p w14:paraId="5D1BFB14" w14:textId="50FA3DDF" w:rsidR="00C71288" w:rsidRPr="00101774" w:rsidRDefault="00C915FF" w:rsidP="0046364F">
      <w:pPr>
        <w:tabs>
          <w:tab w:val="left" w:pos="540"/>
        </w:tabs>
        <w:spacing w:after="0" w:line="240" w:lineRule="auto"/>
        <w:ind w:left="1170" w:hanging="1620"/>
        <w:jc w:val="center"/>
        <w:rPr>
          <w:rFonts w:cstheme="minorHAnsi"/>
          <w:i/>
          <w:color w:val="FF0000"/>
        </w:rPr>
      </w:pPr>
      <w:bookmarkStart w:id="0" w:name="_Terms_of_Reference_2"/>
      <w:bookmarkStart w:id="1" w:name="_DETAILED_TECHNICAL_SPECIFICATIONS_1"/>
      <w:bookmarkStart w:id="2" w:name="_Detailed_Technical_Specifications"/>
      <w:bookmarkEnd w:id="0"/>
      <w:bookmarkEnd w:id="1"/>
      <w:bookmarkEnd w:id="2"/>
      <w:r>
        <w:rPr>
          <w:rFonts w:cstheme="minorHAnsi"/>
          <w:b/>
          <w:bCs/>
          <w:i/>
        </w:rPr>
        <w:t>Mobile</w:t>
      </w:r>
      <w:r w:rsidR="003B1686">
        <w:rPr>
          <w:rFonts w:cstheme="minorHAnsi"/>
          <w:b/>
          <w:bCs/>
          <w:i/>
        </w:rPr>
        <w:t xml:space="preserve"> Prepaid</w:t>
      </w:r>
      <w:r>
        <w:rPr>
          <w:rFonts w:cstheme="minorHAnsi"/>
          <w:b/>
          <w:bCs/>
          <w:i/>
        </w:rPr>
        <w:t xml:space="preserve"> Top-Up Cards</w:t>
      </w:r>
      <w:r w:rsidR="00270220">
        <w:rPr>
          <w:rFonts w:cstheme="minorHAnsi"/>
          <w:b/>
          <w:bCs/>
          <w:i/>
        </w:rPr>
        <w:t xml:space="preserve"> filling</w:t>
      </w:r>
      <w:r w:rsidR="00A41728" w:rsidRPr="00101774">
        <w:rPr>
          <w:rFonts w:cstheme="minorHAnsi"/>
          <w:b/>
          <w:bCs/>
          <w:i/>
        </w:rPr>
        <w:t xml:space="preserve"> for </w:t>
      </w:r>
      <w:r w:rsidR="0046364F" w:rsidRPr="00101774">
        <w:rPr>
          <w:rFonts w:cstheme="minorHAnsi"/>
          <w:b/>
          <w:bCs/>
        </w:rPr>
        <w:t xml:space="preserve">UN Women </w:t>
      </w:r>
      <w:r w:rsidR="0046364F">
        <w:rPr>
          <w:rFonts w:cstheme="minorHAnsi"/>
          <w:b/>
          <w:bCs/>
        </w:rPr>
        <w:t>Myanmar Country Office</w:t>
      </w:r>
    </w:p>
    <w:p w14:paraId="0FA3801E" w14:textId="0E76ABEF" w:rsidR="00C71288" w:rsidRPr="00101774" w:rsidRDefault="00C71288" w:rsidP="00D9426A">
      <w:pPr>
        <w:tabs>
          <w:tab w:val="left" w:pos="540"/>
        </w:tabs>
        <w:spacing w:after="0" w:line="240" w:lineRule="auto"/>
        <w:ind w:left="1170" w:hanging="1620"/>
        <w:jc w:val="center"/>
        <w:rPr>
          <w:rFonts w:cstheme="minorHAnsi"/>
          <w:i/>
          <w:color w:val="FF0000"/>
        </w:rPr>
      </w:pPr>
    </w:p>
    <w:p w14:paraId="7C10D898" w14:textId="2CB2EB7B" w:rsidR="00C71288" w:rsidRPr="00101774" w:rsidRDefault="00C71288" w:rsidP="001F3D83">
      <w:pPr>
        <w:spacing w:after="60"/>
        <w:jc w:val="both"/>
        <w:rPr>
          <w:rFonts w:cstheme="minorHAnsi"/>
          <w:b/>
          <w:bCs/>
        </w:rPr>
      </w:pPr>
      <w:r w:rsidRPr="00101774">
        <w:rPr>
          <w:rFonts w:cstheme="minorHAnsi"/>
          <w:b/>
          <w:bCs/>
        </w:rPr>
        <w:t>General Background</w:t>
      </w:r>
    </w:p>
    <w:p w14:paraId="0AD19238" w14:textId="4115B9CC" w:rsidR="00777C07" w:rsidRDefault="00777C07" w:rsidP="00777C07">
      <w:pPr>
        <w:jc w:val="both"/>
      </w:pPr>
      <w:r w:rsidRPr="00970740">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w:t>
      </w:r>
    </w:p>
    <w:p w14:paraId="390B21A9" w14:textId="7985A8F7" w:rsidR="00777C07" w:rsidRPr="00970740" w:rsidRDefault="00777C07" w:rsidP="00777C07">
      <w:pPr>
        <w:jc w:val="both"/>
      </w:pPr>
      <w:r w:rsidRPr="78DF4768">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w:t>
      </w:r>
    </w:p>
    <w:p w14:paraId="7B171A45" w14:textId="77777777" w:rsidR="00777C07" w:rsidRPr="00055E94" w:rsidRDefault="00777C07" w:rsidP="00777C07">
      <w:pPr>
        <w:pBdr>
          <w:top w:val="single" w:sz="6" w:space="6" w:color="EEEEEE"/>
        </w:pBdr>
        <w:shd w:val="clear" w:color="auto" w:fill="FFFFFF"/>
        <w:spacing w:after="150"/>
        <w:jc w:val="both"/>
        <w:rPr>
          <w:rFonts w:cstheme="minorHAnsi"/>
        </w:rPr>
      </w:pPr>
      <w:r w:rsidRPr="00055E94">
        <w:rPr>
          <w:rFonts w:cstheme="minorHAnsi"/>
        </w:rPr>
        <w:t xml:space="preserve">The UN Women Myanmar </w:t>
      </w:r>
      <w:r>
        <w:rPr>
          <w:rFonts w:cstheme="minorHAnsi"/>
        </w:rPr>
        <w:t xml:space="preserve">Country </w:t>
      </w:r>
      <w:r w:rsidRPr="00055E94">
        <w:rPr>
          <w:rFonts w:cstheme="minorHAnsi"/>
        </w:rPr>
        <w:t>Office is based in Yangon, with offices in the capital Naypyidaw as well as in Mon, Kachin and Rakhine States. Under its Strategic Note 2019-2021, UN Women Myanmar focuses on delivering on the following interlinked programme areas underpinned by support for intergovernmental and normative processes:</w:t>
      </w:r>
    </w:p>
    <w:p w14:paraId="4057CD04" w14:textId="079468AD" w:rsidR="00777C07" w:rsidRPr="00055E94" w:rsidRDefault="00777C07" w:rsidP="00777C07">
      <w:pPr>
        <w:numPr>
          <w:ilvl w:val="0"/>
          <w:numId w:val="29"/>
        </w:numPr>
        <w:spacing w:after="0" w:line="293" w:lineRule="atLeast"/>
        <w:ind w:left="750"/>
        <w:jc w:val="both"/>
        <w:textAlignment w:val="baseline"/>
        <w:rPr>
          <w:rFonts w:eastAsia="MS Mincho" w:cstheme="minorHAnsi"/>
          <w:lang w:val="en-NZ"/>
        </w:rPr>
      </w:pPr>
      <w:r w:rsidRPr="00055E94">
        <w:rPr>
          <w:rFonts w:eastAsia="MS Mincho" w:cstheme="minorHAnsi"/>
          <w:lang w:val="en-NZ"/>
        </w:rPr>
        <w:t>Women’s Leadership and Gender Responsive Governance</w:t>
      </w:r>
      <w:r w:rsidR="001F3D83">
        <w:rPr>
          <w:rFonts w:eastAsia="MS Mincho" w:cstheme="minorHAnsi"/>
          <w:lang w:val="en-NZ"/>
        </w:rPr>
        <w:t>.</w:t>
      </w:r>
    </w:p>
    <w:p w14:paraId="0360E75A" w14:textId="50546824" w:rsidR="00777C07" w:rsidRPr="00055E94" w:rsidRDefault="00777C07" w:rsidP="00777C07">
      <w:pPr>
        <w:numPr>
          <w:ilvl w:val="0"/>
          <w:numId w:val="29"/>
        </w:numPr>
        <w:spacing w:after="0" w:line="293" w:lineRule="atLeast"/>
        <w:ind w:left="750"/>
        <w:jc w:val="both"/>
        <w:textAlignment w:val="baseline"/>
        <w:rPr>
          <w:rFonts w:eastAsia="MS Mincho" w:cstheme="minorHAnsi"/>
          <w:lang w:val="en-NZ"/>
        </w:rPr>
      </w:pPr>
      <w:r w:rsidRPr="00055E94">
        <w:rPr>
          <w:rFonts w:eastAsia="MS Mincho" w:cstheme="minorHAnsi"/>
          <w:lang w:val="en-NZ"/>
        </w:rPr>
        <w:t>Women’s Economic Empowerment</w:t>
      </w:r>
      <w:r w:rsidR="001F3D83">
        <w:rPr>
          <w:rFonts w:eastAsia="MS Mincho" w:cstheme="minorHAnsi"/>
          <w:lang w:val="en-NZ"/>
        </w:rPr>
        <w:t>.</w:t>
      </w:r>
    </w:p>
    <w:p w14:paraId="37981374" w14:textId="77777777" w:rsidR="00777C07" w:rsidRPr="00055E94" w:rsidRDefault="00777C07" w:rsidP="00777C07">
      <w:pPr>
        <w:numPr>
          <w:ilvl w:val="0"/>
          <w:numId w:val="29"/>
        </w:numPr>
        <w:spacing w:after="0" w:line="293" w:lineRule="atLeast"/>
        <w:ind w:left="750"/>
        <w:jc w:val="both"/>
        <w:textAlignment w:val="baseline"/>
        <w:rPr>
          <w:rFonts w:eastAsia="MS Mincho" w:cstheme="minorHAnsi"/>
          <w:lang w:val="en-NZ"/>
        </w:rPr>
      </w:pPr>
      <w:r w:rsidRPr="00055E94">
        <w:rPr>
          <w:rFonts w:eastAsia="MS Mincho" w:cstheme="minorHAnsi"/>
          <w:lang w:val="en-NZ"/>
        </w:rPr>
        <w:t>Women, Peace and Security and Gender in Humanitarian Action and Disaster Risk Reduction.</w:t>
      </w:r>
    </w:p>
    <w:p w14:paraId="602F25FA" w14:textId="77777777" w:rsidR="00777C07" w:rsidRDefault="00777C07" w:rsidP="001F3D83">
      <w:pPr>
        <w:spacing w:after="0"/>
        <w:jc w:val="both"/>
        <w:rPr>
          <w:rFonts w:eastAsia="MS Mincho" w:cstheme="minorHAnsi"/>
          <w:lang w:val="en-NZ"/>
        </w:rPr>
      </w:pPr>
    </w:p>
    <w:p w14:paraId="62EFDE93" w14:textId="4E4EC225" w:rsidR="00777C07" w:rsidRDefault="00777C07" w:rsidP="001F3D83">
      <w:pPr>
        <w:spacing w:after="0"/>
        <w:jc w:val="both"/>
        <w:rPr>
          <w:rFonts w:eastAsia="MS Mincho" w:cstheme="minorHAnsi"/>
          <w:lang w:val="en-NZ"/>
        </w:rPr>
      </w:pPr>
      <w:r w:rsidRPr="00055E94">
        <w:rPr>
          <w:rFonts w:eastAsia="MS Mincho" w:cstheme="minorHAnsi"/>
          <w:lang w:val="en-NZ"/>
        </w:rPr>
        <w:t xml:space="preserve">Under Gender Responsive Governance, UN Women focuses </w:t>
      </w:r>
      <w:r>
        <w:rPr>
          <w:rFonts w:eastAsia="MS Mincho" w:cstheme="minorHAnsi"/>
          <w:lang w:val="en-NZ"/>
        </w:rPr>
        <w:t xml:space="preserve">on </w:t>
      </w:r>
      <w:r w:rsidRPr="00055E94">
        <w:rPr>
          <w:rFonts w:eastAsia="MS Mincho" w:cstheme="minorHAnsi"/>
          <w:lang w:val="en-NZ"/>
        </w:rPr>
        <w:t xml:space="preserve">strengthening </w:t>
      </w:r>
      <w:r>
        <w:rPr>
          <w:rFonts w:eastAsia="MS Mincho" w:cstheme="minorHAnsi"/>
          <w:lang w:val="en-NZ"/>
        </w:rPr>
        <w:t xml:space="preserve">the capacity of </w:t>
      </w:r>
      <w:r w:rsidRPr="00055E94">
        <w:rPr>
          <w:rFonts w:eastAsia="MS Mincho" w:cstheme="minorHAnsi"/>
          <w:lang w:val="en-NZ"/>
        </w:rPr>
        <w:t xml:space="preserve">the Myanmar national gender machinery at Union and State/Region levels </w:t>
      </w:r>
      <w:r>
        <w:rPr>
          <w:rFonts w:eastAsia="MS Mincho" w:cstheme="minorHAnsi"/>
          <w:lang w:val="en-NZ"/>
        </w:rPr>
        <w:t xml:space="preserve">to coordinate and mainstream the implementation of the National Strategic Plan for the Advancement of Women </w:t>
      </w:r>
      <w:r w:rsidRPr="00055E94">
        <w:rPr>
          <w:rFonts w:eastAsia="MS Mincho" w:cstheme="minorHAnsi"/>
          <w:lang w:val="en-NZ"/>
        </w:rPr>
        <w:t xml:space="preserve">and </w:t>
      </w:r>
      <w:r>
        <w:rPr>
          <w:rFonts w:eastAsia="MS Mincho" w:cstheme="minorHAnsi"/>
          <w:lang w:val="en-NZ"/>
        </w:rPr>
        <w:t>on</w:t>
      </w:r>
      <w:r w:rsidRPr="00055E94">
        <w:rPr>
          <w:rFonts w:eastAsia="MS Mincho" w:cstheme="minorHAnsi"/>
          <w:lang w:val="en-NZ"/>
        </w:rPr>
        <w:t xml:space="preserve"> linking women’s civil society organizations with the gender machinery and national and local governance processes.</w:t>
      </w:r>
      <w:r>
        <w:rPr>
          <w:rFonts w:eastAsia="MS Mincho" w:cstheme="minorHAnsi"/>
          <w:lang w:val="en-NZ"/>
        </w:rPr>
        <w:t xml:space="preserve"> The programme area is mostly implemented through the Promoting Democracy in Myanmar through Gender Responsive Governance project which is funded by the government of Finland. The programme is implemented at Union level and in two States: Mon and Kachin.</w:t>
      </w:r>
    </w:p>
    <w:p w14:paraId="281656E8" w14:textId="61E296A4" w:rsidR="00C71288" w:rsidRPr="00101774" w:rsidRDefault="00C71288" w:rsidP="001F3D83">
      <w:pPr>
        <w:spacing w:after="0"/>
        <w:jc w:val="both"/>
        <w:rPr>
          <w:rFonts w:cstheme="minorHAnsi"/>
        </w:rPr>
      </w:pPr>
    </w:p>
    <w:p w14:paraId="14B9EBD6" w14:textId="51878919" w:rsidR="00A41728" w:rsidRPr="00101774" w:rsidRDefault="00270220" w:rsidP="001F3D83">
      <w:pPr>
        <w:spacing w:after="60"/>
        <w:jc w:val="both"/>
        <w:rPr>
          <w:rFonts w:cstheme="minorHAnsi"/>
          <w:b/>
          <w:bCs/>
        </w:rPr>
      </w:pPr>
      <w:r>
        <w:rPr>
          <w:rFonts w:cstheme="minorHAnsi"/>
          <w:b/>
          <w:bCs/>
        </w:rPr>
        <w:t>PURPOSE</w:t>
      </w:r>
    </w:p>
    <w:p w14:paraId="3F9520BE" w14:textId="0A401C24" w:rsidR="00270220" w:rsidRDefault="00A41728" w:rsidP="001F3D83">
      <w:pPr>
        <w:spacing w:after="0"/>
        <w:jc w:val="both"/>
        <w:rPr>
          <w:rFonts w:cstheme="minorHAnsi"/>
        </w:rPr>
      </w:pPr>
      <w:r w:rsidRPr="00101774">
        <w:rPr>
          <w:rFonts w:cstheme="minorHAnsi"/>
        </w:rPr>
        <w:t xml:space="preserve">UN Women </w:t>
      </w:r>
      <w:r w:rsidR="00777C07">
        <w:rPr>
          <w:rFonts w:cstheme="minorHAnsi"/>
        </w:rPr>
        <w:t>Myanmar Country Office</w:t>
      </w:r>
      <w:r w:rsidRPr="00101774">
        <w:rPr>
          <w:rFonts w:cstheme="minorHAnsi"/>
        </w:rPr>
        <w:t xml:space="preserve"> is looking for</w:t>
      </w:r>
      <w:r w:rsidR="00270220">
        <w:rPr>
          <w:rFonts w:cstheme="minorHAnsi"/>
        </w:rPr>
        <w:t xml:space="preserve"> a supplier for mobile </w:t>
      </w:r>
      <w:r w:rsidR="003B1686">
        <w:rPr>
          <w:rFonts w:cstheme="minorHAnsi"/>
        </w:rPr>
        <w:t xml:space="preserve">prepaid </w:t>
      </w:r>
      <w:r w:rsidR="00270220">
        <w:rPr>
          <w:rFonts w:cstheme="minorHAnsi"/>
        </w:rPr>
        <w:t xml:space="preserve">top-up cards </w:t>
      </w:r>
      <w:r w:rsidR="00FB0EBF">
        <w:rPr>
          <w:rFonts w:cstheme="minorHAnsi"/>
        </w:rPr>
        <w:t>filling</w:t>
      </w:r>
      <w:r w:rsidR="00270220">
        <w:rPr>
          <w:rFonts w:cstheme="minorHAnsi"/>
        </w:rPr>
        <w:t xml:space="preserve"> </w:t>
      </w:r>
      <w:r w:rsidR="00144C83">
        <w:rPr>
          <w:rFonts w:cstheme="minorHAnsi"/>
        </w:rPr>
        <w:t>of</w:t>
      </w:r>
      <w:r w:rsidR="00270220">
        <w:rPr>
          <w:rFonts w:cstheme="minorHAnsi"/>
        </w:rPr>
        <w:t xml:space="preserve"> UN Women Myanmar </w:t>
      </w:r>
      <w:r w:rsidR="00144C83">
        <w:rPr>
          <w:rFonts w:cstheme="minorHAnsi"/>
        </w:rPr>
        <w:t>staff/personnel</w:t>
      </w:r>
      <w:r w:rsidR="00E652BF">
        <w:rPr>
          <w:rFonts w:cstheme="minorHAnsi"/>
        </w:rPr>
        <w:t xml:space="preserve"> and virtual workshop particpants to</w:t>
      </w:r>
      <w:r w:rsidR="00144C83">
        <w:rPr>
          <w:rFonts w:cstheme="minorHAnsi"/>
        </w:rPr>
        <w:t xml:space="preserve"> utilize devices for mobile voice subscription and internet access</w:t>
      </w:r>
      <w:r w:rsidR="00144C83">
        <w:t>.</w:t>
      </w:r>
    </w:p>
    <w:p w14:paraId="2BA13C07" w14:textId="2424A6B6" w:rsidR="00C71288" w:rsidRPr="00101774" w:rsidRDefault="00C71288" w:rsidP="001F3D83">
      <w:pPr>
        <w:spacing w:after="0"/>
        <w:jc w:val="both"/>
        <w:rPr>
          <w:rFonts w:cstheme="minorHAnsi"/>
        </w:rPr>
      </w:pPr>
    </w:p>
    <w:p w14:paraId="3149A003" w14:textId="48B470F9" w:rsidR="00A41728" w:rsidRPr="00101774" w:rsidRDefault="00FB0EBF" w:rsidP="001F3D83">
      <w:pPr>
        <w:spacing w:after="60"/>
        <w:jc w:val="both"/>
        <w:rPr>
          <w:rFonts w:cstheme="minorHAnsi"/>
          <w:b/>
          <w:bCs/>
        </w:rPr>
      </w:pPr>
      <w:r>
        <w:rPr>
          <w:rFonts w:cstheme="minorHAnsi"/>
          <w:b/>
          <w:bCs/>
        </w:rPr>
        <w:t>SPECIFIC TASKS</w:t>
      </w:r>
    </w:p>
    <w:p w14:paraId="2D1C49D8" w14:textId="32A158BC" w:rsidR="00A41728" w:rsidRDefault="00FB0EBF" w:rsidP="001F3D83">
      <w:pPr>
        <w:spacing w:after="0"/>
        <w:jc w:val="both"/>
        <w:rPr>
          <w:rFonts w:cstheme="minorHAnsi"/>
        </w:rPr>
      </w:pPr>
      <w:r>
        <w:rPr>
          <w:rFonts w:cstheme="minorHAnsi"/>
        </w:rPr>
        <w:t xml:space="preserve">The selected supplier is expected to undertake top-up cards filling by monthly basis starting from Feb 2021 to December 2021 (11 months). UN Women will provide the detail list of phone numbers and amount to be filled up on mid of every month. The supplier need to </w:t>
      </w:r>
      <w:r w:rsidR="00E652BF">
        <w:rPr>
          <w:rFonts w:cstheme="minorHAnsi"/>
        </w:rPr>
        <w:t xml:space="preserve">Top </w:t>
      </w:r>
      <w:r>
        <w:rPr>
          <w:rFonts w:cstheme="minorHAnsi"/>
        </w:rPr>
        <w:t xml:space="preserve">up within 2-3 days </w:t>
      </w:r>
      <w:r w:rsidR="00DE5E74">
        <w:rPr>
          <w:rFonts w:cstheme="minorHAnsi"/>
        </w:rPr>
        <w:t xml:space="preserve">after </w:t>
      </w:r>
      <w:r w:rsidR="00D5744B">
        <w:rPr>
          <w:rFonts w:cstheme="minorHAnsi"/>
        </w:rPr>
        <w:t>receiving PO</w:t>
      </w:r>
      <w:r w:rsidR="00DE5E74">
        <w:rPr>
          <w:rFonts w:cstheme="minorHAnsi"/>
        </w:rPr>
        <w:t xml:space="preserve"> </w:t>
      </w:r>
      <w:r w:rsidR="00E652BF">
        <w:rPr>
          <w:rFonts w:cstheme="minorHAnsi"/>
        </w:rPr>
        <w:t xml:space="preserve">from </w:t>
      </w:r>
      <w:r w:rsidR="00DE5E74">
        <w:rPr>
          <w:rFonts w:cstheme="minorHAnsi"/>
        </w:rPr>
        <w:t xml:space="preserve">UN Women. The estimated usage of top-up cards </w:t>
      </w:r>
      <w:r w:rsidR="003B1686">
        <w:rPr>
          <w:rFonts w:cstheme="minorHAnsi"/>
        </w:rPr>
        <w:t>are</w:t>
      </w:r>
      <w:r w:rsidR="00DE5E74">
        <w:rPr>
          <w:rFonts w:cstheme="minorHAnsi"/>
        </w:rPr>
        <w:t xml:space="preserve"> as following Table.</w:t>
      </w:r>
      <w:r w:rsidR="00E652BF">
        <w:rPr>
          <w:rFonts w:cstheme="minorHAnsi"/>
        </w:rPr>
        <w:t xml:space="preserve"> The estimate is provided for costing purpose the actual will vary depending on requirement. UN women does not gurantee to procure below mentioned volume and may require less/more depending on the need. After Top Up is completed the vendor will submit proof of Top Ups issued to the</w:t>
      </w:r>
      <w:r w:rsidR="00F74F07">
        <w:rPr>
          <w:rFonts w:cstheme="minorHAnsi"/>
        </w:rPr>
        <w:t xml:space="preserve"> numbers</w:t>
      </w:r>
      <w:r w:rsidR="00E652BF">
        <w:rPr>
          <w:rFonts w:cstheme="minorHAnsi"/>
        </w:rPr>
        <w:t xml:space="preserve"> provided </w:t>
      </w:r>
      <w:r w:rsidR="00F74F07">
        <w:rPr>
          <w:rFonts w:cstheme="minorHAnsi"/>
        </w:rPr>
        <w:t xml:space="preserve">by UN Women. </w:t>
      </w:r>
    </w:p>
    <w:p w14:paraId="6EEBB5C6" w14:textId="77777777" w:rsidR="00BA558E" w:rsidRDefault="00BA558E" w:rsidP="001F3D83">
      <w:pPr>
        <w:spacing w:after="0"/>
        <w:jc w:val="both"/>
        <w:rPr>
          <w:rFonts w:cstheme="minorHAnsi"/>
        </w:rPr>
      </w:pPr>
    </w:p>
    <w:tbl>
      <w:tblPr>
        <w:tblStyle w:val="TableGrid"/>
        <w:tblW w:w="0" w:type="auto"/>
        <w:tblLook w:val="04A0" w:firstRow="1" w:lastRow="0" w:firstColumn="1" w:lastColumn="0" w:noHBand="0" w:noVBand="1"/>
      </w:tblPr>
      <w:tblGrid>
        <w:gridCol w:w="1705"/>
        <w:gridCol w:w="3330"/>
        <w:gridCol w:w="1260"/>
        <w:gridCol w:w="1260"/>
        <w:gridCol w:w="1260"/>
      </w:tblGrid>
      <w:tr w:rsidR="00CB0681" w14:paraId="4D22CB36" w14:textId="01B2A2D4" w:rsidTr="00BA558E">
        <w:trPr>
          <w:trHeight w:val="625"/>
          <w:tblHeader/>
        </w:trPr>
        <w:tc>
          <w:tcPr>
            <w:tcW w:w="1705" w:type="dxa"/>
            <w:shd w:val="clear" w:color="auto" w:fill="D9D9D9" w:themeFill="background1" w:themeFillShade="D9"/>
            <w:vAlign w:val="center"/>
          </w:tcPr>
          <w:p w14:paraId="07A7678D" w14:textId="240BFF30" w:rsidR="00CB0681" w:rsidRPr="00DE5E74" w:rsidRDefault="00CB0681" w:rsidP="00D9426A">
            <w:pPr>
              <w:jc w:val="both"/>
              <w:rPr>
                <w:rFonts w:cstheme="minorHAnsi"/>
                <w:b/>
                <w:bCs/>
              </w:rPr>
            </w:pPr>
            <w:bookmarkStart w:id="3" w:name="_Hlk63407730"/>
            <w:r w:rsidRPr="00DE5E74">
              <w:rPr>
                <w:rFonts w:cstheme="minorHAnsi"/>
                <w:b/>
                <w:bCs/>
              </w:rPr>
              <w:lastRenderedPageBreak/>
              <w:t>Service Provider</w:t>
            </w:r>
          </w:p>
        </w:tc>
        <w:tc>
          <w:tcPr>
            <w:tcW w:w="3330" w:type="dxa"/>
            <w:shd w:val="clear" w:color="auto" w:fill="D9D9D9" w:themeFill="background1" w:themeFillShade="D9"/>
            <w:vAlign w:val="center"/>
          </w:tcPr>
          <w:p w14:paraId="3C3C3BBA" w14:textId="3A64AEA7" w:rsidR="00CB0681" w:rsidRPr="00DE5E74" w:rsidRDefault="00CB0681" w:rsidP="00DE5E74">
            <w:pPr>
              <w:jc w:val="center"/>
              <w:rPr>
                <w:rFonts w:cstheme="minorHAnsi"/>
                <w:b/>
                <w:bCs/>
              </w:rPr>
            </w:pPr>
            <w:r w:rsidRPr="00DE5E74">
              <w:rPr>
                <w:rFonts w:cstheme="minorHAnsi"/>
                <w:b/>
                <w:bCs/>
              </w:rPr>
              <w:t>Type of Mobile Top-Up Card</w:t>
            </w:r>
          </w:p>
        </w:tc>
        <w:tc>
          <w:tcPr>
            <w:tcW w:w="1260" w:type="dxa"/>
            <w:shd w:val="clear" w:color="auto" w:fill="D9D9D9" w:themeFill="background1" w:themeFillShade="D9"/>
            <w:vAlign w:val="center"/>
          </w:tcPr>
          <w:p w14:paraId="6DCC2E8D" w14:textId="06369228" w:rsidR="00CB0681" w:rsidRPr="00DE5E74" w:rsidRDefault="00CB0681" w:rsidP="00DE5E74">
            <w:pPr>
              <w:jc w:val="center"/>
              <w:rPr>
                <w:rFonts w:cstheme="minorHAnsi"/>
                <w:b/>
                <w:bCs/>
              </w:rPr>
            </w:pPr>
            <w:r w:rsidRPr="00DE5E74">
              <w:rPr>
                <w:rFonts w:cstheme="minorHAnsi"/>
                <w:b/>
                <w:bCs/>
              </w:rPr>
              <w:t>Quantity</w:t>
            </w:r>
            <w:r w:rsidR="009B651C">
              <w:rPr>
                <w:rFonts w:cstheme="minorHAnsi"/>
                <w:b/>
                <w:bCs/>
              </w:rPr>
              <w:t xml:space="preserve"> (Monthly)</w:t>
            </w:r>
          </w:p>
        </w:tc>
        <w:tc>
          <w:tcPr>
            <w:tcW w:w="1260" w:type="dxa"/>
            <w:shd w:val="clear" w:color="auto" w:fill="D9D9D9" w:themeFill="background1" w:themeFillShade="D9"/>
            <w:vAlign w:val="center"/>
          </w:tcPr>
          <w:p w14:paraId="587DC8CE" w14:textId="6D0C9416" w:rsidR="00CB0681" w:rsidRPr="00DE5E74" w:rsidRDefault="009B651C" w:rsidP="00DE5E74">
            <w:pPr>
              <w:jc w:val="center"/>
              <w:rPr>
                <w:rFonts w:cstheme="minorHAnsi"/>
                <w:b/>
                <w:bCs/>
              </w:rPr>
            </w:pPr>
            <w:r>
              <w:rPr>
                <w:rFonts w:cstheme="minorHAnsi"/>
                <w:b/>
                <w:bCs/>
              </w:rPr>
              <w:t xml:space="preserve">Total </w:t>
            </w:r>
            <w:r w:rsidR="00CB0681">
              <w:rPr>
                <w:rFonts w:cstheme="minorHAnsi"/>
                <w:b/>
                <w:bCs/>
              </w:rPr>
              <w:t>Month</w:t>
            </w:r>
          </w:p>
        </w:tc>
        <w:tc>
          <w:tcPr>
            <w:tcW w:w="1260" w:type="dxa"/>
            <w:shd w:val="clear" w:color="auto" w:fill="D9D9D9" w:themeFill="background1" w:themeFillShade="D9"/>
            <w:vAlign w:val="center"/>
          </w:tcPr>
          <w:p w14:paraId="3D1D4CF2" w14:textId="304E555F" w:rsidR="00CB0681" w:rsidRDefault="00CB0681" w:rsidP="00DE5E74">
            <w:pPr>
              <w:jc w:val="center"/>
              <w:rPr>
                <w:rFonts w:cstheme="minorHAnsi"/>
                <w:b/>
                <w:bCs/>
              </w:rPr>
            </w:pPr>
            <w:r>
              <w:rPr>
                <w:rFonts w:cstheme="minorHAnsi"/>
                <w:b/>
                <w:bCs/>
              </w:rPr>
              <w:t>Total Card</w:t>
            </w:r>
            <w:r w:rsidR="003B1686">
              <w:rPr>
                <w:rFonts w:cstheme="minorHAnsi"/>
                <w:b/>
                <w:bCs/>
              </w:rPr>
              <w:t>s</w:t>
            </w:r>
          </w:p>
        </w:tc>
      </w:tr>
      <w:tr w:rsidR="00CB0681" w14:paraId="0BA41215" w14:textId="281DC705" w:rsidTr="001F3D83">
        <w:trPr>
          <w:trHeight w:val="278"/>
        </w:trPr>
        <w:tc>
          <w:tcPr>
            <w:tcW w:w="1705" w:type="dxa"/>
            <w:vAlign w:val="center"/>
          </w:tcPr>
          <w:p w14:paraId="58A5EF87" w14:textId="26F708EE" w:rsidR="00CB0681" w:rsidRDefault="00CB0681" w:rsidP="00D9426A">
            <w:pPr>
              <w:jc w:val="both"/>
              <w:rPr>
                <w:rFonts w:cstheme="minorHAnsi"/>
              </w:rPr>
            </w:pPr>
            <w:r>
              <w:rPr>
                <w:rFonts w:cstheme="minorHAnsi"/>
              </w:rPr>
              <w:t>MPT</w:t>
            </w:r>
          </w:p>
        </w:tc>
        <w:tc>
          <w:tcPr>
            <w:tcW w:w="3330" w:type="dxa"/>
            <w:vAlign w:val="center"/>
          </w:tcPr>
          <w:p w14:paraId="70E30015" w14:textId="1D38D2DD" w:rsidR="00CB0681" w:rsidRDefault="00CB0681" w:rsidP="00DE5E74">
            <w:pPr>
              <w:jc w:val="center"/>
              <w:rPr>
                <w:rFonts w:cstheme="minorHAnsi"/>
              </w:rPr>
            </w:pPr>
            <w:r>
              <w:rPr>
                <w:rFonts w:cstheme="minorHAnsi"/>
              </w:rPr>
              <w:t>10,000 MMK Prepaid Top-Up Card</w:t>
            </w:r>
          </w:p>
        </w:tc>
        <w:tc>
          <w:tcPr>
            <w:tcW w:w="1260" w:type="dxa"/>
            <w:vAlign w:val="center"/>
          </w:tcPr>
          <w:p w14:paraId="4F871100" w14:textId="2E7BB15C" w:rsidR="00CB0681" w:rsidRDefault="00CB0681" w:rsidP="00DE5E74">
            <w:pPr>
              <w:jc w:val="center"/>
              <w:rPr>
                <w:rFonts w:cstheme="minorHAnsi"/>
              </w:rPr>
            </w:pPr>
            <w:r>
              <w:rPr>
                <w:rFonts w:cstheme="minorHAnsi"/>
              </w:rPr>
              <w:t>45</w:t>
            </w:r>
          </w:p>
        </w:tc>
        <w:tc>
          <w:tcPr>
            <w:tcW w:w="1260" w:type="dxa"/>
            <w:vAlign w:val="center"/>
          </w:tcPr>
          <w:p w14:paraId="09E1BA92" w14:textId="5F6AF588" w:rsidR="00CB0681" w:rsidRDefault="00CB0681" w:rsidP="00DE5E74">
            <w:pPr>
              <w:jc w:val="center"/>
              <w:rPr>
                <w:rFonts w:cstheme="minorHAnsi"/>
              </w:rPr>
            </w:pPr>
            <w:r>
              <w:rPr>
                <w:rFonts w:cstheme="minorHAnsi"/>
              </w:rPr>
              <w:t>11</w:t>
            </w:r>
          </w:p>
        </w:tc>
        <w:tc>
          <w:tcPr>
            <w:tcW w:w="1260" w:type="dxa"/>
            <w:vAlign w:val="center"/>
          </w:tcPr>
          <w:p w14:paraId="1968D2E6" w14:textId="3B61C1A3" w:rsidR="00CB0681" w:rsidRDefault="003B1686" w:rsidP="00DE5E74">
            <w:pPr>
              <w:jc w:val="center"/>
              <w:rPr>
                <w:rFonts w:cstheme="minorHAnsi"/>
              </w:rPr>
            </w:pPr>
            <w:r>
              <w:rPr>
                <w:rFonts w:cstheme="minorHAnsi"/>
              </w:rPr>
              <w:t>495</w:t>
            </w:r>
          </w:p>
        </w:tc>
      </w:tr>
      <w:tr w:rsidR="00CB0681" w14:paraId="4229E88A" w14:textId="656F915A" w:rsidTr="001F3D83">
        <w:trPr>
          <w:trHeight w:val="242"/>
        </w:trPr>
        <w:tc>
          <w:tcPr>
            <w:tcW w:w="1705" w:type="dxa"/>
            <w:vAlign w:val="center"/>
          </w:tcPr>
          <w:p w14:paraId="4ADAB759" w14:textId="08C2184B" w:rsidR="00CB0681" w:rsidRDefault="00CB0681" w:rsidP="00D9426A">
            <w:pPr>
              <w:jc w:val="both"/>
              <w:rPr>
                <w:rFonts w:cstheme="minorHAnsi"/>
              </w:rPr>
            </w:pPr>
            <w:r>
              <w:rPr>
                <w:rFonts w:cstheme="minorHAnsi"/>
              </w:rPr>
              <w:t>MPT</w:t>
            </w:r>
          </w:p>
        </w:tc>
        <w:tc>
          <w:tcPr>
            <w:tcW w:w="3330" w:type="dxa"/>
            <w:vAlign w:val="center"/>
          </w:tcPr>
          <w:p w14:paraId="43B8BE47" w14:textId="4BCA3ED9" w:rsidR="00CB0681" w:rsidRDefault="00CB0681" w:rsidP="00DE5E74">
            <w:pPr>
              <w:jc w:val="center"/>
              <w:rPr>
                <w:rFonts w:cstheme="minorHAnsi"/>
              </w:rPr>
            </w:pPr>
            <w:r>
              <w:rPr>
                <w:rFonts w:cstheme="minorHAnsi"/>
              </w:rPr>
              <w:t>5,000 MMK Prepaid Top-Up Card</w:t>
            </w:r>
          </w:p>
        </w:tc>
        <w:tc>
          <w:tcPr>
            <w:tcW w:w="1260" w:type="dxa"/>
            <w:vAlign w:val="center"/>
          </w:tcPr>
          <w:p w14:paraId="216887AE" w14:textId="1A442A58" w:rsidR="00CB0681" w:rsidRDefault="00CB0681" w:rsidP="00DE5E74">
            <w:pPr>
              <w:jc w:val="center"/>
              <w:rPr>
                <w:rFonts w:cstheme="minorHAnsi"/>
              </w:rPr>
            </w:pPr>
            <w:r>
              <w:rPr>
                <w:rFonts w:cstheme="minorHAnsi"/>
              </w:rPr>
              <w:t>10</w:t>
            </w:r>
          </w:p>
        </w:tc>
        <w:tc>
          <w:tcPr>
            <w:tcW w:w="1260" w:type="dxa"/>
            <w:vAlign w:val="center"/>
          </w:tcPr>
          <w:p w14:paraId="47ED5F59" w14:textId="12168AF1" w:rsidR="00CB0681" w:rsidRDefault="00CB0681" w:rsidP="00DE5E74">
            <w:pPr>
              <w:jc w:val="center"/>
              <w:rPr>
                <w:rFonts w:cstheme="minorHAnsi"/>
              </w:rPr>
            </w:pPr>
            <w:r>
              <w:rPr>
                <w:rFonts w:cstheme="minorHAnsi"/>
              </w:rPr>
              <w:t>11</w:t>
            </w:r>
          </w:p>
        </w:tc>
        <w:tc>
          <w:tcPr>
            <w:tcW w:w="1260" w:type="dxa"/>
            <w:vAlign w:val="center"/>
          </w:tcPr>
          <w:p w14:paraId="042814B2" w14:textId="1EFCB822" w:rsidR="00CB0681" w:rsidRDefault="003B1686" w:rsidP="00DE5E74">
            <w:pPr>
              <w:jc w:val="center"/>
              <w:rPr>
                <w:rFonts w:cstheme="minorHAnsi"/>
              </w:rPr>
            </w:pPr>
            <w:r>
              <w:rPr>
                <w:rFonts w:cstheme="minorHAnsi"/>
              </w:rPr>
              <w:t>110</w:t>
            </w:r>
          </w:p>
        </w:tc>
      </w:tr>
      <w:tr w:rsidR="00CB0681" w14:paraId="28151403" w14:textId="10AEB2D4" w:rsidTr="001F3D83">
        <w:trPr>
          <w:trHeight w:val="242"/>
        </w:trPr>
        <w:tc>
          <w:tcPr>
            <w:tcW w:w="1705" w:type="dxa"/>
            <w:vAlign w:val="center"/>
          </w:tcPr>
          <w:p w14:paraId="08958173" w14:textId="0F14A181" w:rsidR="00CB0681" w:rsidRDefault="00CB0681" w:rsidP="00D9426A">
            <w:pPr>
              <w:jc w:val="both"/>
              <w:rPr>
                <w:rFonts w:cstheme="minorHAnsi"/>
              </w:rPr>
            </w:pPr>
            <w:r>
              <w:rPr>
                <w:rFonts w:cstheme="minorHAnsi"/>
              </w:rPr>
              <w:t>Ooredoo</w:t>
            </w:r>
          </w:p>
        </w:tc>
        <w:tc>
          <w:tcPr>
            <w:tcW w:w="3330" w:type="dxa"/>
            <w:vAlign w:val="center"/>
          </w:tcPr>
          <w:p w14:paraId="6A93BDCA" w14:textId="00912A32" w:rsidR="00CB0681" w:rsidRDefault="00CB0681" w:rsidP="00DE5E74">
            <w:pPr>
              <w:jc w:val="center"/>
              <w:rPr>
                <w:rFonts w:cstheme="minorHAnsi"/>
              </w:rPr>
            </w:pPr>
            <w:r>
              <w:rPr>
                <w:rFonts w:cstheme="minorHAnsi"/>
              </w:rPr>
              <w:t>10,000 MMK Prepaid Top-Up Card</w:t>
            </w:r>
          </w:p>
        </w:tc>
        <w:tc>
          <w:tcPr>
            <w:tcW w:w="1260" w:type="dxa"/>
            <w:vAlign w:val="center"/>
          </w:tcPr>
          <w:p w14:paraId="40E4E43F" w14:textId="441923A5" w:rsidR="00CB0681" w:rsidRDefault="00CB0681" w:rsidP="00DE5E74">
            <w:pPr>
              <w:jc w:val="center"/>
              <w:rPr>
                <w:rFonts w:cstheme="minorHAnsi"/>
              </w:rPr>
            </w:pPr>
            <w:r>
              <w:rPr>
                <w:rFonts w:cstheme="minorHAnsi"/>
              </w:rPr>
              <w:t>2</w:t>
            </w:r>
          </w:p>
        </w:tc>
        <w:tc>
          <w:tcPr>
            <w:tcW w:w="1260" w:type="dxa"/>
            <w:vAlign w:val="center"/>
          </w:tcPr>
          <w:p w14:paraId="70E02927" w14:textId="08476683" w:rsidR="00CB0681" w:rsidRDefault="00CB0681" w:rsidP="00DE5E74">
            <w:pPr>
              <w:jc w:val="center"/>
              <w:rPr>
                <w:rFonts w:cstheme="minorHAnsi"/>
              </w:rPr>
            </w:pPr>
            <w:r>
              <w:rPr>
                <w:rFonts w:cstheme="minorHAnsi"/>
              </w:rPr>
              <w:t>11</w:t>
            </w:r>
          </w:p>
        </w:tc>
        <w:tc>
          <w:tcPr>
            <w:tcW w:w="1260" w:type="dxa"/>
            <w:vAlign w:val="center"/>
          </w:tcPr>
          <w:p w14:paraId="190F3168" w14:textId="48A1A44E" w:rsidR="00CB0681" w:rsidRDefault="003B1686" w:rsidP="00DE5E74">
            <w:pPr>
              <w:jc w:val="center"/>
              <w:rPr>
                <w:rFonts w:cstheme="minorHAnsi"/>
              </w:rPr>
            </w:pPr>
            <w:r>
              <w:rPr>
                <w:rFonts w:cstheme="minorHAnsi"/>
              </w:rPr>
              <w:t>22</w:t>
            </w:r>
          </w:p>
        </w:tc>
      </w:tr>
      <w:tr w:rsidR="00CB0681" w14:paraId="616580A8" w14:textId="76E713B5" w:rsidTr="001F3D83">
        <w:trPr>
          <w:trHeight w:val="260"/>
        </w:trPr>
        <w:tc>
          <w:tcPr>
            <w:tcW w:w="1705" w:type="dxa"/>
            <w:vAlign w:val="center"/>
          </w:tcPr>
          <w:p w14:paraId="4956ECC8" w14:textId="79533757" w:rsidR="00CB0681" w:rsidRDefault="00CB0681" w:rsidP="00D9426A">
            <w:pPr>
              <w:jc w:val="both"/>
              <w:rPr>
                <w:rFonts w:cstheme="minorHAnsi"/>
              </w:rPr>
            </w:pPr>
            <w:r>
              <w:rPr>
                <w:rFonts w:cstheme="minorHAnsi"/>
              </w:rPr>
              <w:t>Ooredoo</w:t>
            </w:r>
          </w:p>
        </w:tc>
        <w:tc>
          <w:tcPr>
            <w:tcW w:w="3330" w:type="dxa"/>
            <w:vAlign w:val="center"/>
          </w:tcPr>
          <w:p w14:paraId="26C69F95" w14:textId="0222B979" w:rsidR="00CB0681" w:rsidRDefault="00CB0681" w:rsidP="00DE5E74">
            <w:pPr>
              <w:jc w:val="center"/>
              <w:rPr>
                <w:rFonts w:cstheme="minorHAnsi"/>
              </w:rPr>
            </w:pPr>
            <w:r>
              <w:rPr>
                <w:rFonts w:cstheme="minorHAnsi"/>
              </w:rPr>
              <w:t>5,000 MMK Prepaid Top-Up Card</w:t>
            </w:r>
          </w:p>
        </w:tc>
        <w:tc>
          <w:tcPr>
            <w:tcW w:w="1260" w:type="dxa"/>
            <w:vAlign w:val="center"/>
          </w:tcPr>
          <w:p w14:paraId="2CE4D253" w14:textId="13795B31" w:rsidR="00CB0681" w:rsidRDefault="00CB0681" w:rsidP="00DE5E74">
            <w:pPr>
              <w:jc w:val="center"/>
              <w:rPr>
                <w:rFonts w:cstheme="minorHAnsi"/>
              </w:rPr>
            </w:pPr>
            <w:r>
              <w:rPr>
                <w:rFonts w:cstheme="minorHAnsi"/>
              </w:rPr>
              <w:t>2</w:t>
            </w:r>
          </w:p>
        </w:tc>
        <w:tc>
          <w:tcPr>
            <w:tcW w:w="1260" w:type="dxa"/>
            <w:vAlign w:val="center"/>
          </w:tcPr>
          <w:p w14:paraId="70E4474B" w14:textId="132550B6" w:rsidR="00CB0681" w:rsidRDefault="00CB0681" w:rsidP="00DE5E74">
            <w:pPr>
              <w:jc w:val="center"/>
              <w:rPr>
                <w:rFonts w:cstheme="minorHAnsi"/>
              </w:rPr>
            </w:pPr>
            <w:r>
              <w:rPr>
                <w:rFonts w:cstheme="minorHAnsi"/>
              </w:rPr>
              <w:t>11</w:t>
            </w:r>
          </w:p>
        </w:tc>
        <w:tc>
          <w:tcPr>
            <w:tcW w:w="1260" w:type="dxa"/>
            <w:vAlign w:val="center"/>
          </w:tcPr>
          <w:p w14:paraId="19EBF80C" w14:textId="4E3E4FA0" w:rsidR="00CB0681" w:rsidRDefault="003B1686" w:rsidP="00DE5E74">
            <w:pPr>
              <w:jc w:val="center"/>
              <w:rPr>
                <w:rFonts w:cstheme="minorHAnsi"/>
              </w:rPr>
            </w:pPr>
            <w:r>
              <w:rPr>
                <w:rFonts w:cstheme="minorHAnsi"/>
              </w:rPr>
              <w:t>22</w:t>
            </w:r>
          </w:p>
        </w:tc>
      </w:tr>
      <w:tr w:rsidR="00CB0681" w14:paraId="37246D15" w14:textId="0C97B06A" w:rsidTr="001F3D83">
        <w:trPr>
          <w:trHeight w:val="188"/>
        </w:trPr>
        <w:tc>
          <w:tcPr>
            <w:tcW w:w="1705" w:type="dxa"/>
            <w:vAlign w:val="center"/>
          </w:tcPr>
          <w:p w14:paraId="237445DE" w14:textId="702C3DF3" w:rsidR="00CB0681" w:rsidRDefault="00CB0681" w:rsidP="00D9426A">
            <w:pPr>
              <w:jc w:val="both"/>
              <w:rPr>
                <w:rFonts w:cstheme="minorHAnsi"/>
              </w:rPr>
            </w:pPr>
            <w:r>
              <w:rPr>
                <w:rFonts w:cstheme="minorHAnsi"/>
              </w:rPr>
              <w:t>Telenor</w:t>
            </w:r>
          </w:p>
        </w:tc>
        <w:tc>
          <w:tcPr>
            <w:tcW w:w="3330" w:type="dxa"/>
            <w:vAlign w:val="center"/>
          </w:tcPr>
          <w:p w14:paraId="3EA9114B" w14:textId="6A09CE79" w:rsidR="00CB0681" w:rsidRDefault="00CB0681" w:rsidP="00DE5E74">
            <w:pPr>
              <w:jc w:val="center"/>
              <w:rPr>
                <w:rFonts w:cstheme="minorHAnsi"/>
              </w:rPr>
            </w:pPr>
            <w:r>
              <w:rPr>
                <w:rFonts w:cstheme="minorHAnsi"/>
              </w:rPr>
              <w:t>10,000 MMK Prepaid Top-Up Card</w:t>
            </w:r>
          </w:p>
        </w:tc>
        <w:tc>
          <w:tcPr>
            <w:tcW w:w="1260" w:type="dxa"/>
            <w:vAlign w:val="center"/>
          </w:tcPr>
          <w:p w14:paraId="77093433" w14:textId="35BA81F6" w:rsidR="00CB0681" w:rsidRDefault="00CB0681" w:rsidP="00DE5E74">
            <w:pPr>
              <w:jc w:val="center"/>
              <w:rPr>
                <w:rFonts w:cstheme="minorHAnsi"/>
              </w:rPr>
            </w:pPr>
            <w:r>
              <w:rPr>
                <w:rFonts w:cstheme="minorHAnsi"/>
              </w:rPr>
              <w:t>10</w:t>
            </w:r>
          </w:p>
        </w:tc>
        <w:tc>
          <w:tcPr>
            <w:tcW w:w="1260" w:type="dxa"/>
            <w:vAlign w:val="center"/>
          </w:tcPr>
          <w:p w14:paraId="2DB2B75B" w14:textId="2F25796C" w:rsidR="00CB0681" w:rsidRDefault="00CB0681" w:rsidP="00DE5E74">
            <w:pPr>
              <w:jc w:val="center"/>
              <w:rPr>
                <w:rFonts w:cstheme="minorHAnsi"/>
              </w:rPr>
            </w:pPr>
            <w:r>
              <w:rPr>
                <w:rFonts w:cstheme="minorHAnsi"/>
              </w:rPr>
              <w:t>11</w:t>
            </w:r>
          </w:p>
        </w:tc>
        <w:tc>
          <w:tcPr>
            <w:tcW w:w="1260" w:type="dxa"/>
            <w:vAlign w:val="center"/>
          </w:tcPr>
          <w:p w14:paraId="325793FF" w14:textId="4E2ADAA0" w:rsidR="00CB0681" w:rsidRDefault="003B1686" w:rsidP="00DE5E74">
            <w:pPr>
              <w:jc w:val="center"/>
              <w:rPr>
                <w:rFonts w:cstheme="minorHAnsi"/>
              </w:rPr>
            </w:pPr>
            <w:r>
              <w:rPr>
                <w:rFonts w:cstheme="minorHAnsi"/>
              </w:rPr>
              <w:t>110</w:t>
            </w:r>
          </w:p>
        </w:tc>
      </w:tr>
      <w:tr w:rsidR="00CB0681" w14:paraId="3B32596E" w14:textId="64D56E08" w:rsidTr="001F3D83">
        <w:trPr>
          <w:trHeight w:val="260"/>
        </w:trPr>
        <w:tc>
          <w:tcPr>
            <w:tcW w:w="1705" w:type="dxa"/>
            <w:vAlign w:val="center"/>
          </w:tcPr>
          <w:p w14:paraId="4DCD5D9D" w14:textId="7970F583" w:rsidR="00CB0681" w:rsidRDefault="00CB0681" w:rsidP="00D9426A">
            <w:pPr>
              <w:jc w:val="both"/>
              <w:rPr>
                <w:rFonts w:cstheme="minorHAnsi"/>
              </w:rPr>
            </w:pPr>
            <w:r>
              <w:rPr>
                <w:rFonts w:cstheme="minorHAnsi"/>
              </w:rPr>
              <w:t>Telenor</w:t>
            </w:r>
          </w:p>
        </w:tc>
        <w:tc>
          <w:tcPr>
            <w:tcW w:w="3330" w:type="dxa"/>
            <w:vAlign w:val="center"/>
          </w:tcPr>
          <w:p w14:paraId="5A8D1C63" w14:textId="4F2493B6" w:rsidR="00CB0681" w:rsidRDefault="00CB0681" w:rsidP="00DE5E74">
            <w:pPr>
              <w:jc w:val="center"/>
              <w:rPr>
                <w:rFonts w:cstheme="minorHAnsi"/>
              </w:rPr>
            </w:pPr>
            <w:r>
              <w:rPr>
                <w:rFonts w:cstheme="minorHAnsi"/>
              </w:rPr>
              <w:t>5,000 MMK Prepaid Top-Up Card</w:t>
            </w:r>
          </w:p>
        </w:tc>
        <w:tc>
          <w:tcPr>
            <w:tcW w:w="1260" w:type="dxa"/>
            <w:vAlign w:val="center"/>
          </w:tcPr>
          <w:p w14:paraId="7286DF53" w14:textId="18789B06" w:rsidR="00CB0681" w:rsidRDefault="003B1686" w:rsidP="00DE5E74">
            <w:pPr>
              <w:jc w:val="center"/>
              <w:rPr>
                <w:rFonts w:cstheme="minorHAnsi"/>
              </w:rPr>
            </w:pPr>
            <w:r>
              <w:rPr>
                <w:rFonts w:cstheme="minorHAnsi"/>
              </w:rPr>
              <w:t>2</w:t>
            </w:r>
          </w:p>
        </w:tc>
        <w:tc>
          <w:tcPr>
            <w:tcW w:w="1260" w:type="dxa"/>
            <w:vAlign w:val="center"/>
          </w:tcPr>
          <w:p w14:paraId="3A1F5835" w14:textId="37F284C0" w:rsidR="00CB0681" w:rsidRDefault="00CB0681" w:rsidP="00DE5E74">
            <w:pPr>
              <w:jc w:val="center"/>
              <w:rPr>
                <w:rFonts w:cstheme="minorHAnsi"/>
              </w:rPr>
            </w:pPr>
            <w:r>
              <w:rPr>
                <w:rFonts w:cstheme="minorHAnsi"/>
              </w:rPr>
              <w:t>11</w:t>
            </w:r>
          </w:p>
        </w:tc>
        <w:tc>
          <w:tcPr>
            <w:tcW w:w="1260" w:type="dxa"/>
            <w:vAlign w:val="center"/>
          </w:tcPr>
          <w:p w14:paraId="6AEB2549" w14:textId="5D00E344" w:rsidR="00CB0681" w:rsidRDefault="003B1686" w:rsidP="00DE5E74">
            <w:pPr>
              <w:jc w:val="center"/>
              <w:rPr>
                <w:rFonts w:cstheme="minorHAnsi"/>
              </w:rPr>
            </w:pPr>
            <w:r>
              <w:rPr>
                <w:rFonts w:cstheme="minorHAnsi"/>
              </w:rPr>
              <w:t>22</w:t>
            </w:r>
          </w:p>
        </w:tc>
      </w:tr>
    </w:tbl>
    <w:bookmarkEnd w:id="3"/>
    <w:p w14:paraId="2961847C" w14:textId="36B4F54D" w:rsidR="00DE5E74" w:rsidRDefault="00CB0681" w:rsidP="00D02ACB">
      <w:pPr>
        <w:spacing w:before="120" w:after="0"/>
        <w:jc w:val="both"/>
        <w:rPr>
          <w:rFonts w:cstheme="minorHAnsi"/>
        </w:rPr>
      </w:pPr>
      <w:r>
        <w:rPr>
          <w:rFonts w:cstheme="minorHAnsi"/>
        </w:rPr>
        <w:t>* The detail list of quantity will be provided by UN Women along with PO on monthly basis.</w:t>
      </w:r>
    </w:p>
    <w:p w14:paraId="57335620" w14:textId="677BEA95" w:rsidR="00334DD8" w:rsidRDefault="00334DD8" w:rsidP="00D02ACB">
      <w:pPr>
        <w:spacing w:after="0"/>
        <w:jc w:val="both"/>
        <w:rPr>
          <w:rFonts w:cstheme="minorHAnsi"/>
        </w:rPr>
      </w:pPr>
    </w:p>
    <w:p w14:paraId="01F34BED" w14:textId="77777777" w:rsidR="00334DD8" w:rsidRPr="00101774" w:rsidRDefault="00334DD8" w:rsidP="00D02ACB">
      <w:pPr>
        <w:spacing w:after="0"/>
        <w:ind w:left="-450"/>
        <w:jc w:val="both"/>
        <w:rPr>
          <w:rFonts w:cstheme="minorHAnsi"/>
        </w:rPr>
      </w:pPr>
      <w:bookmarkStart w:id="4" w:name="_Hlk46406144"/>
      <w:r w:rsidRPr="00DF1836">
        <w:rPr>
          <w:rFonts w:ascii="Calibri" w:hAnsi="Calibri"/>
          <w:b/>
          <w:bCs/>
          <w:iCs/>
          <w:color w:val="000000" w:themeColor="text1"/>
          <w:sz w:val="24"/>
          <w:szCs w:val="24"/>
          <w:u w:val="single"/>
        </w:rPr>
        <w:t xml:space="preserve">Technical Specifications for </w:t>
      </w:r>
      <w:r>
        <w:rPr>
          <w:rFonts w:ascii="Calibri" w:hAnsi="Calibri"/>
          <w:b/>
          <w:bCs/>
          <w:iCs/>
          <w:color w:val="000000" w:themeColor="text1"/>
          <w:sz w:val="24"/>
          <w:szCs w:val="24"/>
          <w:u w:val="single"/>
        </w:rPr>
        <w:t>Mobile Prepaid Top-Up Cards</w:t>
      </w:r>
    </w:p>
    <w:tbl>
      <w:tblPr>
        <w:tblStyle w:val="TableGrid"/>
        <w:tblW w:w="9923" w:type="dxa"/>
        <w:jc w:val="center"/>
        <w:tblLook w:val="04A0" w:firstRow="1" w:lastRow="0" w:firstColumn="1" w:lastColumn="0" w:noHBand="0" w:noVBand="1"/>
      </w:tblPr>
      <w:tblGrid>
        <w:gridCol w:w="775"/>
        <w:gridCol w:w="770"/>
        <w:gridCol w:w="1096"/>
        <w:gridCol w:w="4211"/>
        <w:gridCol w:w="1530"/>
        <w:gridCol w:w="1541"/>
      </w:tblGrid>
      <w:tr w:rsidR="00334DD8" w14:paraId="0A89FF83" w14:textId="77777777" w:rsidTr="00D12415">
        <w:trPr>
          <w:jc w:val="center"/>
        </w:trPr>
        <w:tc>
          <w:tcPr>
            <w:tcW w:w="775" w:type="dxa"/>
            <w:vMerge w:val="restart"/>
            <w:vAlign w:val="center"/>
          </w:tcPr>
          <w:p w14:paraId="6DB4682F" w14:textId="77777777" w:rsidR="00334DD8" w:rsidRPr="00CB7CB5" w:rsidRDefault="00334DD8" w:rsidP="00D12415">
            <w:pPr>
              <w:jc w:val="center"/>
            </w:pPr>
            <w:r w:rsidRPr="00CB7CB5">
              <w:rPr>
                <w:rStyle w:val="Strong"/>
                <w:rFonts w:ascii="Calibri" w:hAnsi="Calibri"/>
              </w:rPr>
              <w:t>Items</w:t>
            </w:r>
          </w:p>
        </w:tc>
        <w:tc>
          <w:tcPr>
            <w:tcW w:w="770" w:type="dxa"/>
            <w:vMerge w:val="restart"/>
            <w:vAlign w:val="center"/>
          </w:tcPr>
          <w:p w14:paraId="3D0DCFE8" w14:textId="77777777" w:rsidR="00334DD8" w:rsidRPr="00CB7CB5" w:rsidRDefault="00334DD8" w:rsidP="00D12415">
            <w:pPr>
              <w:jc w:val="center"/>
            </w:pPr>
            <w:r w:rsidRPr="00CB7CB5">
              <w:rPr>
                <w:rStyle w:val="Strong"/>
                <w:rFonts w:ascii="Calibri" w:hAnsi="Calibri"/>
              </w:rPr>
              <w:t>Qty</w:t>
            </w:r>
          </w:p>
        </w:tc>
        <w:tc>
          <w:tcPr>
            <w:tcW w:w="1096" w:type="dxa"/>
            <w:vMerge w:val="restart"/>
            <w:vAlign w:val="center"/>
          </w:tcPr>
          <w:p w14:paraId="55EDD95D" w14:textId="77777777" w:rsidR="00334DD8" w:rsidRPr="00CB7CB5" w:rsidRDefault="00334DD8" w:rsidP="00D12415">
            <w:pPr>
              <w:jc w:val="center"/>
            </w:pPr>
            <w:r w:rsidRPr="00CB7CB5">
              <w:rPr>
                <w:rStyle w:val="Strong"/>
                <w:rFonts w:ascii="Calibri" w:hAnsi="Calibri"/>
              </w:rPr>
              <w:t>Unit of Measure</w:t>
            </w:r>
          </w:p>
        </w:tc>
        <w:tc>
          <w:tcPr>
            <w:tcW w:w="4211" w:type="dxa"/>
            <w:vMerge w:val="restart"/>
            <w:vAlign w:val="center"/>
          </w:tcPr>
          <w:p w14:paraId="20B895B6" w14:textId="77777777" w:rsidR="00334DD8" w:rsidRPr="00CB7CB5" w:rsidRDefault="00334DD8" w:rsidP="00D12415">
            <w:pPr>
              <w:jc w:val="center"/>
            </w:pPr>
            <w:r w:rsidRPr="00CB7CB5">
              <w:rPr>
                <w:rStyle w:val="Strong"/>
                <w:rFonts w:ascii="Calibri" w:hAnsi="Calibri"/>
              </w:rPr>
              <w:t>Descriptions / Specifications of Goods</w:t>
            </w:r>
          </w:p>
        </w:tc>
        <w:tc>
          <w:tcPr>
            <w:tcW w:w="3071" w:type="dxa"/>
            <w:gridSpan w:val="2"/>
            <w:vAlign w:val="center"/>
          </w:tcPr>
          <w:p w14:paraId="6454212F" w14:textId="77777777" w:rsidR="00334DD8" w:rsidRPr="00CB7CB5" w:rsidRDefault="00334DD8" w:rsidP="00D12415">
            <w:pPr>
              <w:jc w:val="center"/>
            </w:pPr>
            <w:r w:rsidRPr="00CB7CB5">
              <w:rPr>
                <w:rFonts w:ascii="Calibri" w:hAnsi="Calibri"/>
                <w:b/>
              </w:rPr>
              <w:t>Delivery</w:t>
            </w:r>
          </w:p>
        </w:tc>
      </w:tr>
      <w:tr w:rsidR="00334DD8" w14:paraId="0426BC3B" w14:textId="77777777" w:rsidTr="00D12415">
        <w:trPr>
          <w:trHeight w:val="377"/>
          <w:jc w:val="center"/>
        </w:trPr>
        <w:tc>
          <w:tcPr>
            <w:tcW w:w="775" w:type="dxa"/>
            <w:vMerge/>
            <w:vAlign w:val="center"/>
          </w:tcPr>
          <w:p w14:paraId="6B1C0C98" w14:textId="77777777" w:rsidR="00334DD8" w:rsidRPr="00CB7CB5" w:rsidRDefault="00334DD8" w:rsidP="00D12415">
            <w:pPr>
              <w:jc w:val="center"/>
            </w:pPr>
          </w:p>
        </w:tc>
        <w:tc>
          <w:tcPr>
            <w:tcW w:w="770" w:type="dxa"/>
            <w:vMerge/>
            <w:vAlign w:val="center"/>
          </w:tcPr>
          <w:p w14:paraId="2E1C126A" w14:textId="77777777" w:rsidR="00334DD8" w:rsidRPr="00CB7CB5" w:rsidRDefault="00334DD8" w:rsidP="00D12415">
            <w:pPr>
              <w:jc w:val="center"/>
            </w:pPr>
          </w:p>
        </w:tc>
        <w:tc>
          <w:tcPr>
            <w:tcW w:w="1096" w:type="dxa"/>
            <w:vMerge/>
            <w:vAlign w:val="center"/>
          </w:tcPr>
          <w:p w14:paraId="05FB3544" w14:textId="77777777" w:rsidR="00334DD8" w:rsidRPr="00CB7CB5" w:rsidRDefault="00334DD8" w:rsidP="00D12415">
            <w:pPr>
              <w:jc w:val="center"/>
            </w:pPr>
          </w:p>
        </w:tc>
        <w:tc>
          <w:tcPr>
            <w:tcW w:w="4211" w:type="dxa"/>
            <w:vMerge/>
            <w:vAlign w:val="center"/>
          </w:tcPr>
          <w:p w14:paraId="1137337E" w14:textId="77777777" w:rsidR="00334DD8" w:rsidRPr="00CB7CB5" w:rsidRDefault="00334DD8" w:rsidP="00D12415">
            <w:pPr>
              <w:jc w:val="center"/>
            </w:pPr>
          </w:p>
        </w:tc>
        <w:tc>
          <w:tcPr>
            <w:tcW w:w="1530" w:type="dxa"/>
            <w:vAlign w:val="center"/>
          </w:tcPr>
          <w:p w14:paraId="0DBF2EAF" w14:textId="77777777" w:rsidR="00334DD8" w:rsidRPr="00CB7CB5" w:rsidRDefault="00334DD8" w:rsidP="00D12415">
            <w:pPr>
              <w:jc w:val="center"/>
            </w:pPr>
            <w:r w:rsidRPr="00CB7CB5">
              <w:rPr>
                <w:rFonts w:ascii="Calibri" w:hAnsi="Calibri"/>
                <w:b/>
              </w:rPr>
              <w:t>Expected** Delivery Date</w:t>
            </w:r>
          </w:p>
        </w:tc>
        <w:tc>
          <w:tcPr>
            <w:tcW w:w="1541" w:type="dxa"/>
            <w:vAlign w:val="center"/>
          </w:tcPr>
          <w:p w14:paraId="7A6EB51B" w14:textId="77777777" w:rsidR="00334DD8" w:rsidRPr="00CB7CB5" w:rsidRDefault="00334DD8" w:rsidP="00D12415">
            <w:pPr>
              <w:jc w:val="center"/>
            </w:pPr>
            <w:r w:rsidRPr="00CB7CB5">
              <w:rPr>
                <w:rFonts w:ascii="Calibri" w:hAnsi="Calibri"/>
                <w:b/>
              </w:rPr>
              <w:t>Location</w:t>
            </w:r>
          </w:p>
        </w:tc>
      </w:tr>
      <w:tr w:rsidR="00334DD8" w:rsidRPr="0051053D" w14:paraId="642CEC35" w14:textId="77777777" w:rsidTr="00D12415">
        <w:trPr>
          <w:jc w:val="center"/>
        </w:trPr>
        <w:tc>
          <w:tcPr>
            <w:tcW w:w="775" w:type="dxa"/>
            <w:vAlign w:val="center"/>
          </w:tcPr>
          <w:p w14:paraId="5D0FDACE" w14:textId="77777777" w:rsidR="00334DD8" w:rsidRPr="009B4629" w:rsidRDefault="00334DD8" w:rsidP="00D12415">
            <w:pPr>
              <w:jc w:val="center"/>
              <w:rPr>
                <w:rFonts w:cstheme="minorHAnsi"/>
              </w:rPr>
            </w:pPr>
            <w:r w:rsidRPr="009B4629">
              <w:rPr>
                <w:rFonts w:cstheme="minorHAnsi"/>
              </w:rPr>
              <w:t>1</w:t>
            </w:r>
          </w:p>
        </w:tc>
        <w:tc>
          <w:tcPr>
            <w:tcW w:w="770" w:type="dxa"/>
            <w:vAlign w:val="center"/>
          </w:tcPr>
          <w:p w14:paraId="4449F397" w14:textId="77777777" w:rsidR="00334DD8" w:rsidRPr="009B4629" w:rsidRDefault="00334DD8" w:rsidP="00D12415">
            <w:pPr>
              <w:jc w:val="center"/>
              <w:rPr>
                <w:rFonts w:cstheme="minorHAnsi"/>
              </w:rPr>
            </w:pPr>
            <w:r>
              <w:rPr>
                <w:rFonts w:cstheme="minorHAnsi"/>
              </w:rPr>
              <w:t>495</w:t>
            </w:r>
          </w:p>
        </w:tc>
        <w:tc>
          <w:tcPr>
            <w:tcW w:w="1096" w:type="dxa"/>
            <w:vAlign w:val="center"/>
          </w:tcPr>
          <w:p w14:paraId="6412D121" w14:textId="77777777" w:rsidR="00334DD8" w:rsidRPr="009B4629" w:rsidRDefault="00334DD8" w:rsidP="00D12415">
            <w:pPr>
              <w:jc w:val="center"/>
              <w:rPr>
                <w:rFonts w:cstheme="minorHAnsi"/>
              </w:rPr>
            </w:pPr>
            <w:r>
              <w:rPr>
                <w:rFonts w:cstheme="minorHAnsi"/>
              </w:rPr>
              <w:t>Card</w:t>
            </w:r>
          </w:p>
        </w:tc>
        <w:tc>
          <w:tcPr>
            <w:tcW w:w="4211" w:type="dxa"/>
          </w:tcPr>
          <w:p w14:paraId="40EDC0B2" w14:textId="77777777" w:rsidR="00334DD8" w:rsidRPr="009B4629" w:rsidRDefault="00334DD8" w:rsidP="00D12415">
            <w:pPr>
              <w:spacing w:line="276" w:lineRule="auto"/>
              <w:contextualSpacing/>
              <w:rPr>
                <w:rFonts w:eastAsiaTheme="minorHAnsi" w:cstheme="minorHAnsi"/>
                <w:lang w:bidi="my-MM"/>
              </w:rPr>
            </w:pPr>
            <w:r>
              <w:rPr>
                <w:rFonts w:cstheme="minorHAnsi"/>
                <w:b/>
                <w:bCs/>
                <w:lang w:val="en-GB"/>
              </w:rPr>
              <w:t>MPT Mobile Prepaid Top-Up Card</w:t>
            </w:r>
          </w:p>
          <w:p w14:paraId="7C06411B" w14:textId="77777777" w:rsidR="00334DD8" w:rsidRPr="009B4629" w:rsidRDefault="00334DD8" w:rsidP="00D12415">
            <w:pPr>
              <w:pStyle w:val="ListParagraph"/>
              <w:numPr>
                <w:ilvl w:val="0"/>
                <w:numId w:val="17"/>
              </w:numPr>
              <w:ind w:left="211" w:hanging="211"/>
              <w:rPr>
                <w:rFonts w:asciiTheme="minorHAnsi" w:hAnsiTheme="minorHAnsi" w:cstheme="minorHAnsi"/>
                <w:sz w:val="22"/>
                <w:szCs w:val="22"/>
                <w:lang w:val="en-GB"/>
              </w:rPr>
            </w:pPr>
            <w:r>
              <w:rPr>
                <w:rFonts w:asciiTheme="minorHAnsi" w:hAnsiTheme="minorHAnsi" w:cstheme="minorHAnsi"/>
                <w:sz w:val="22"/>
                <w:szCs w:val="22"/>
                <w:lang w:val="en-GB"/>
              </w:rPr>
              <w:t>10,000 MMK Card</w:t>
            </w:r>
          </w:p>
          <w:p w14:paraId="16FC9DD9" w14:textId="77777777" w:rsidR="00334DD8" w:rsidRPr="009B4629" w:rsidRDefault="00334DD8" w:rsidP="00D12415">
            <w:pPr>
              <w:pStyle w:val="ListParagraph"/>
              <w:numPr>
                <w:ilvl w:val="0"/>
                <w:numId w:val="17"/>
              </w:numPr>
              <w:spacing w:line="276" w:lineRule="auto"/>
              <w:ind w:left="211" w:hanging="211"/>
              <w:contextualSpacing/>
              <w:rPr>
                <w:rFonts w:asciiTheme="minorHAnsi" w:eastAsiaTheme="minorHAnsi" w:hAnsiTheme="minorHAnsi" w:cstheme="minorHAnsi"/>
                <w:sz w:val="22"/>
                <w:szCs w:val="22"/>
                <w:lang w:bidi="my-MM"/>
              </w:rPr>
            </w:pPr>
            <w:r>
              <w:rPr>
                <w:rFonts w:asciiTheme="minorHAnsi" w:hAnsiTheme="minorHAnsi" w:cstheme="minorHAnsi"/>
                <w:sz w:val="22"/>
                <w:szCs w:val="22"/>
                <w:lang w:val="en-GB"/>
              </w:rPr>
              <w:t>Support GSM Network – 2G, 3G &amp; above</w:t>
            </w:r>
          </w:p>
        </w:tc>
        <w:tc>
          <w:tcPr>
            <w:tcW w:w="1530" w:type="dxa"/>
            <w:vMerge w:val="restart"/>
            <w:vAlign w:val="center"/>
          </w:tcPr>
          <w:p w14:paraId="74405D2E" w14:textId="77777777" w:rsidR="00334DD8" w:rsidRDefault="00334DD8" w:rsidP="00D12415">
            <w:pPr>
              <w:jc w:val="center"/>
              <w:rPr>
                <w:rFonts w:cstheme="minorHAnsi"/>
              </w:rPr>
            </w:pPr>
            <w:r>
              <w:rPr>
                <w:rFonts w:cstheme="minorHAnsi"/>
              </w:rPr>
              <w:t>18th of Each Month</w:t>
            </w:r>
            <w:r w:rsidRPr="009B4629">
              <w:rPr>
                <w:rFonts w:cstheme="minorHAnsi"/>
              </w:rPr>
              <w:t xml:space="preserve"> _ Tentatively</w:t>
            </w:r>
          </w:p>
          <w:p w14:paraId="64439543" w14:textId="77777777" w:rsidR="00334DD8" w:rsidRPr="009B4629" w:rsidRDefault="00334DD8" w:rsidP="00D12415">
            <w:pPr>
              <w:jc w:val="center"/>
              <w:rPr>
                <w:rFonts w:cstheme="minorHAnsi"/>
              </w:rPr>
            </w:pPr>
          </w:p>
          <w:p w14:paraId="0FC20662" w14:textId="77777777" w:rsidR="00334DD8" w:rsidRPr="009B4629" w:rsidRDefault="00334DD8" w:rsidP="00D12415">
            <w:pPr>
              <w:jc w:val="center"/>
              <w:rPr>
                <w:rFonts w:cstheme="minorHAnsi"/>
              </w:rPr>
            </w:pPr>
            <w:r w:rsidRPr="009B4629">
              <w:rPr>
                <w:rFonts w:cstheme="minorHAnsi"/>
              </w:rPr>
              <w:t>(</w:t>
            </w:r>
            <w:r>
              <w:rPr>
                <w:rFonts w:cstheme="minorHAnsi"/>
              </w:rPr>
              <w:t>February to December 2021 / 11 Months</w:t>
            </w:r>
            <w:r w:rsidRPr="009B4629">
              <w:rPr>
                <w:rFonts w:cstheme="minorHAnsi"/>
              </w:rPr>
              <w:t>)</w:t>
            </w:r>
          </w:p>
        </w:tc>
        <w:tc>
          <w:tcPr>
            <w:tcW w:w="1541" w:type="dxa"/>
            <w:vMerge w:val="restart"/>
            <w:vAlign w:val="center"/>
          </w:tcPr>
          <w:p w14:paraId="217B8551" w14:textId="77777777" w:rsidR="00334DD8" w:rsidRPr="009B4629" w:rsidRDefault="00334DD8" w:rsidP="00D12415">
            <w:pPr>
              <w:jc w:val="center"/>
              <w:rPr>
                <w:rFonts w:cstheme="minorHAnsi"/>
              </w:rPr>
            </w:pPr>
            <w:r w:rsidRPr="009B4629">
              <w:rPr>
                <w:rFonts w:cstheme="minorHAnsi"/>
              </w:rPr>
              <w:t>UN Women Office</w:t>
            </w:r>
          </w:p>
          <w:p w14:paraId="1AB6323F" w14:textId="77777777" w:rsidR="00334DD8" w:rsidRPr="009B4629" w:rsidRDefault="00334DD8" w:rsidP="00D12415">
            <w:pPr>
              <w:jc w:val="center"/>
              <w:rPr>
                <w:rFonts w:cstheme="minorHAnsi"/>
              </w:rPr>
            </w:pPr>
          </w:p>
          <w:p w14:paraId="5AB248BE" w14:textId="77777777" w:rsidR="00334DD8" w:rsidRPr="009B4629" w:rsidRDefault="00334DD8" w:rsidP="00D12415">
            <w:pPr>
              <w:jc w:val="center"/>
              <w:rPr>
                <w:rFonts w:cstheme="minorHAnsi"/>
              </w:rPr>
            </w:pPr>
            <w:r w:rsidRPr="009B4629">
              <w:rPr>
                <w:rFonts w:cstheme="minorHAnsi"/>
              </w:rPr>
              <w:t>At UNICEF Compound</w:t>
            </w:r>
          </w:p>
          <w:p w14:paraId="049D8129" w14:textId="77777777" w:rsidR="00334DD8" w:rsidRPr="009B4629" w:rsidRDefault="00334DD8" w:rsidP="00D12415">
            <w:pPr>
              <w:jc w:val="center"/>
              <w:rPr>
                <w:rFonts w:cstheme="minorHAnsi"/>
              </w:rPr>
            </w:pPr>
            <w:r w:rsidRPr="009B4629">
              <w:rPr>
                <w:rFonts w:cstheme="minorHAnsi"/>
              </w:rPr>
              <w:t>No.23(A), Innya Myaing Road, Shwe Taung Gyar Ward-2, Bahan Township, Yangon</w:t>
            </w:r>
          </w:p>
          <w:p w14:paraId="2970B718" w14:textId="77777777" w:rsidR="00334DD8" w:rsidRPr="00032A46" w:rsidRDefault="00334DD8" w:rsidP="00D12415">
            <w:pPr>
              <w:jc w:val="center"/>
              <w:rPr>
                <w:rFonts w:ascii="Calibri" w:hAnsi="Calibri" w:cs="Calibri"/>
              </w:rPr>
            </w:pPr>
          </w:p>
        </w:tc>
      </w:tr>
      <w:tr w:rsidR="00334DD8" w:rsidRPr="0051053D" w14:paraId="07D860C2" w14:textId="77777777" w:rsidTr="00D12415">
        <w:trPr>
          <w:jc w:val="center"/>
        </w:trPr>
        <w:tc>
          <w:tcPr>
            <w:tcW w:w="775" w:type="dxa"/>
            <w:vAlign w:val="center"/>
          </w:tcPr>
          <w:p w14:paraId="2A6E9AF3" w14:textId="77777777" w:rsidR="00334DD8" w:rsidRPr="009B4629" w:rsidRDefault="00334DD8" w:rsidP="00D12415">
            <w:pPr>
              <w:jc w:val="center"/>
              <w:rPr>
                <w:rFonts w:cstheme="minorHAnsi"/>
              </w:rPr>
            </w:pPr>
            <w:r>
              <w:rPr>
                <w:rFonts w:cstheme="minorHAnsi"/>
              </w:rPr>
              <w:t>2</w:t>
            </w:r>
          </w:p>
        </w:tc>
        <w:tc>
          <w:tcPr>
            <w:tcW w:w="770" w:type="dxa"/>
            <w:vAlign w:val="center"/>
          </w:tcPr>
          <w:p w14:paraId="703B331E" w14:textId="77777777" w:rsidR="00334DD8" w:rsidRPr="009B4629" w:rsidRDefault="00334DD8" w:rsidP="00D12415">
            <w:pPr>
              <w:jc w:val="center"/>
              <w:rPr>
                <w:rFonts w:cstheme="minorHAnsi"/>
              </w:rPr>
            </w:pPr>
            <w:r>
              <w:rPr>
                <w:rFonts w:cstheme="minorHAnsi"/>
              </w:rPr>
              <w:t>110</w:t>
            </w:r>
          </w:p>
        </w:tc>
        <w:tc>
          <w:tcPr>
            <w:tcW w:w="1096" w:type="dxa"/>
            <w:vAlign w:val="center"/>
          </w:tcPr>
          <w:p w14:paraId="2A24F3BF" w14:textId="77777777" w:rsidR="00334DD8" w:rsidRPr="009B4629" w:rsidRDefault="00334DD8" w:rsidP="00D12415">
            <w:pPr>
              <w:jc w:val="center"/>
              <w:rPr>
                <w:rFonts w:cstheme="minorHAnsi"/>
              </w:rPr>
            </w:pPr>
            <w:r>
              <w:rPr>
                <w:rFonts w:cstheme="minorHAnsi"/>
              </w:rPr>
              <w:t>Card</w:t>
            </w:r>
          </w:p>
        </w:tc>
        <w:tc>
          <w:tcPr>
            <w:tcW w:w="4211" w:type="dxa"/>
          </w:tcPr>
          <w:p w14:paraId="66A7A4F3" w14:textId="77777777" w:rsidR="00334DD8" w:rsidRPr="009B4629" w:rsidRDefault="00334DD8" w:rsidP="00D12415">
            <w:pPr>
              <w:spacing w:line="276" w:lineRule="auto"/>
              <w:contextualSpacing/>
              <w:rPr>
                <w:rFonts w:eastAsiaTheme="minorHAnsi" w:cstheme="minorHAnsi"/>
                <w:lang w:bidi="my-MM"/>
              </w:rPr>
            </w:pPr>
            <w:r>
              <w:rPr>
                <w:rFonts w:cstheme="minorHAnsi"/>
                <w:b/>
                <w:bCs/>
                <w:lang w:val="en-GB"/>
              </w:rPr>
              <w:t>MPT Mobile Prepaid Top-Up Card</w:t>
            </w:r>
          </w:p>
          <w:p w14:paraId="486FF1D1" w14:textId="77777777" w:rsidR="00334DD8" w:rsidRDefault="00334DD8" w:rsidP="00D12415">
            <w:pPr>
              <w:pStyle w:val="ListParagraph"/>
              <w:numPr>
                <w:ilvl w:val="0"/>
                <w:numId w:val="17"/>
              </w:numPr>
              <w:ind w:left="211" w:hanging="211"/>
              <w:rPr>
                <w:rFonts w:asciiTheme="minorHAnsi" w:hAnsiTheme="minorHAnsi" w:cstheme="minorHAnsi"/>
                <w:sz w:val="22"/>
                <w:szCs w:val="22"/>
                <w:lang w:val="en-GB"/>
              </w:rPr>
            </w:pPr>
            <w:r>
              <w:rPr>
                <w:rFonts w:asciiTheme="minorHAnsi" w:hAnsiTheme="minorHAnsi" w:cstheme="minorHAnsi"/>
                <w:sz w:val="22"/>
                <w:szCs w:val="22"/>
                <w:lang w:val="en-GB"/>
              </w:rPr>
              <w:t>5,000 MMK Card</w:t>
            </w:r>
          </w:p>
          <w:p w14:paraId="099CBC37" w14:textId="77777777" w:rsidR="00334DD8" w:rsidRPr="00465049" w:rsidRDefault="00334DD8" w:rsidP="00D12415">
            <w:pPr>
              <w:pStyle w:val="ListParagraph"/>
              <w:numPr>
                <w:ilvl w:val="0"/>
                <w:numId w:val="17"/>
              </w:numPr>
              <w:ind w:left="211" w:hanging="211"/>
              <w:rPr>
                <w:rFonts w:asciiTheme="minorHAnsi" w:hAnsiTheme="minorHAnsi" w:cstheme="minorHAnsi"/>
                <w:sz w:val="22"/>
                <w:szCs w:val="22"/>
                <w:lang w:val="en-GB"/>
              </w:rPr>
            </w:pPr>
            <w:r w:rsidRPr="00465049">
              <w:rPr>
                <w:rFonts w:asciiTheme="minorHAnsi" w:hAnsiTheme="minorHAnsi" w:cstheme="minorHAnsi"/>
                <w:sz w:val="22"/>
                <w:szCs w:val="22"/>
                <w:lang w:val="en-GB"/>
              </w:rPr>
              <w:t>Support GSM Network</w:t>
            </w:r>
            <w:r>
              <w:rPr>
                <w:rFonts w:asciiTheme="minorHAnsi" w:hAnsiTheme="minorHAnsi" w:cstheme="minorHAnsi"/>
                <w:sz w:val="22"/>
                <w:szCs w:val="22"/>
                <w:lang w:val="en-GB"/>
              </w:rPr>
              <w:t xml:space="preserve"> – 2G, 3G &amp; above</w:t>
            </w:r>
          </w:p>
        </w:tc>
        <w:tc>
          <w:tcPr>
            <w:tcW w:w="1530" w:type="dxa"/>
            <w:vMerge/>
          </w:tcPr>
          <w:p w14:paraId="5CED42ED" w14:textId="77777777" w:rsidR="00334DD8" w:rsidRDefault="00334DD8" w:rsidP="00D12415">
            <w:pPr>
              <w:jc w:val="center"/>
              <w:rPr>
                <w:rFonts w:cstheme="minorHAnsi"/>
              </w:rPr>
            </w:pPr>
          </w:p>
        </w:tc>
        <w:tc>
          <w:tcPr>
            <w:tcW w:w="1541" w:type="dxa"/>
            <w:vMerge/>
          </w:tcPr>
          <w:p w14:paraId="152D59BD" w14:textId="77777777" w:rsidR="00334DD8" w:rsidRPr="009B4629" w:rsidRDefault="00334DD8" w:rsidP="00D12415">
            <w:pPr>
              <w:jc w:val="center"/>
              <w:rPr>
                <w:rFonts w:cstheme="minorHAnsi"/>
              </w:rPr>
            </w:pPr>
          </w:p>
        </w:tc>
      </w:tr>
      <w:tr w:rsidR="00334DD8" w:rsidRPr="0051053D" w14:paraId="0A058493" w14:textId="77777777" w:rsidTr="00D12415">
        <w:trPr>
          <w:jc w:val="center"/>
        </w:trPr>
        <w:tc>
          <w:tcPr>
            <w:tcW w:w="775" w:type="dxa"/>
            <w:vAlign w:val="center"/>
          </w:tcPr>
          <w:p w14:paraId="1304B5B1" w14:textId="77777777" w:rsidR="00334DD8" w:rsidRPr="009B4629" w:rsidRDefault="00334DD8" w:rsidP="00D12415">
            <w:pPr>
              <w:jc w:val="center"/>
              <w:rPr>
                <w:rFonts w:cstheme="minorHAnsi"/>
              </w:rPr>
            </w:pPr>
            <w:r>
              <w:rPr>
                <w:rFonts w:cstheme="minorHAnsi"/>
              </w:rPr>
              <w:t>3</w:t>
            </w:r>
          </w:p>
        </w:tc>
        <w:tc>
          <w:tcPr>
            <w:tcW w:w="770" w:type="dxa"/>
            <w:vAlign w:val="center"/>
          </w:tcPr>
          <w:p w14:paraId="36BAF828" w14:textId="77777777" w:rsidR="00334DD8" w:rsidRPr="009B4629" w:rsidRDefault="00334DD8" w:rsidP="00D12415">
            <w:pPr>
              <w:jc w:val="center"/>
              <w:rPr>
                <w:rFonts w:cstheme="minorHAnsi"/>
              </w:rPr>
            </w:pPr>
            <w:r>
              <w:rPr>
                <w:rFonts w:cstheme="minorHAnsi"/>
              </w:rPr>
              <w:t>22</w:t>
            </w:r>
          </w:p>
        </w:tc>
        <w:tc>
          <w:tcPr>
            <w:tcW w:w="1096" w:type="dxa"/>
            <w:vAlign w:val="center"/>
          </w:tcPr>
          <w:p w14:paraId="3DCEDA7E" w14:textId="77777777" w:rsidR="00334DD8" w:rsidRPr="009B4629" w:rsidRDefault="00334DD8" w:rsidP="00D12415">
            <w:pPr>
              <w:jc w:val="center"/>
              <w:rPr>
                <w:rFonts w:cstheme="minorHAnsi"/>
              </w:rPr>
            </w:pPr>
            <w:r>
              <w:rPr>
                <w:rFonts w:cstheme="minorHAnsi"/>
              </w:rPr>
              <w:t>Card</w:t>
            </w:r>
          </w:p>
        </w:tc>
        <w:tc>
          <w:tcPr>
            <w:tcW w:w="4211" w:type="dxa"/>
          </w:tcPr>
          <w:p w14:paraId="43A0E3F2" w14:textId="77777777" w:rsidR="00334DD8" w:rsidRPr="009B4629" w:rsidRDefault="00334DD8" w:rsidP="00D12415">
            <w:pPr>
              <w:spacing w:line="276" w:lineRule="auto"/>
              <w:contextualSpacing/>
              <w:rPr>
                <w:rFonts w:eastAsiaTheme="minorHAnsi" w:cstheme="minorHAnsi"/>
                <w:lang w:bidi="my-MM"/>
              </w:rPr>
            </w:pPr>
            <w:r>
              <w:rPr>
                <w:rFonts w:cstheme="minorHAnsi"/>
                <w:b/>
                <w:bCs/>
                <w:lang w:val="en-GB"/>
              </w:rPr>
              <w:t>Ooredoo Mobile Prepaid Top-Up Card</w:t>
            </w:r>
          </w:p>
          <w:p w14:paraId="0E55A265" w14:textId="77777777" w:rsidR="00334DD8" w:rsidRDefault="00334DD8" w:rsidP="00D12415">
            <w:pPr>
              <w:pStyle w:val="ListParagraph"/>
              <w:numPr>
                <w:ilvl w:val="0"/>
                <w:numId w:val="17"/>
              </w:numPr>
              <w:ind w:left="211" w:hanging="211"/>
              <w:rPr>
                <w:rFonts w:asciiTheme="minorHAnsi" w:hAnsiTheme="minorHAnsi" w:cstheme="minorHAnsi"/>
                <w:sz w:val="22"/>
                <w:szCs w:val="22"/>
                <w:lang w:val="en-GB"/>
              </w:rPr>
            </w:pPr>
            <w:r>
              <w:rPr>
                <w:rFonts w:asciiTheme="minorHAnsi" w:hAnsiTheme="minorHAnsi" w:cstheme="minorHAnsi"/>
                <w:sz w:val="22"/>
                <w:szCs w:val="22"/>
                <w:lang w:val="en-GB"/>
              </w:rPr>
              <w:t>10,000 MMK Card</w:t>
            </w:r>
          </w:p>
          <w:p w14:paraId="0643AA40" w14:textId="77777777" w:rsidR="00334DD8" w:rsidRPr="00465049" w:rsidRDefault="00334DD8" w:rsidP="00D12415">
            <w:pPr>
              <w:pStyle w:val="ListParagraph"/>
              <w:numPr>
                <w:ilvl w:val="0"/>
                <w:numId w:val="17"/>
              </w:numPr>
              <w:ind w:left="211" w:hanging="211"/>
              <w:rPr>
                <w:rFonts w:asciiTheme="minorHAnsi" w:hAnsiTheme="minorHAnsi" w:cstheme="minorHAnsi"/>
                <w:sz w:val="22"/>
                <w:szCs w:val="22"/>
                <w:lang w:val="en-GB"/>
              </w:rPr>
            </w:pPr>
            <w:r w:rsidRPr="00465049">
              <w:rPr>
                <w:rFonts w:asciiTheme="minorHAnsi" w:hAnsiTheme="minorHAnsi" w:cstheme="minorHAnsi"/>
                <w:sz w:val="22"/>
                <w:szCs w:val="22"/>
                <w:lang w:val="en-GB"/>
              </w:rPr>
              <w:t>Support GSM Network –</w:t>
            </w:r>
            <w:r>
              <w:rPr>
                <w:rFonts w:asciiTheme="minorHAnsi" w:hAnsiTheme="minorHAnsi" w:cstheme="minorHAnsi"/>
                <w:sz w:val="22"/>
                <w:szCs w:val="22"/>
                <w:lang w:val="en-GB"/>
              </w:rPr>
              <w:t xml:space="preserve"> </w:t>
            </w:r>
            <w:r w:rsidRPr="00465049">
              <w:rPr>
                <w:rFonts w:asciiTheme="minorHAnsi" w:hAnsiTheme="minorHAnsi" w:cstheme="minorHAnsi"/>
                <w:sz w:val="22"/>
                <w:szCs w:val="22"/>
                <w:lang w:val="en-GB"/>
              </w:rPr>
              <w:t>3G &amp; above</w:t>
            </w:r>
          </w:p>
        </w:tc>
        <w:tc>
          <w:tcPr>
            <w:tcW w:w="1530" w:type="dxa"/>
            <w:vMerge/>
          </w:tcPr>
          <w:p w14:paraId="6CE71D82" w14:textId="77777777" w:rsidR="00334DD8" w:rsidRPr="009B4629" w:rsidRDefault="00334DD8" w:rsidP="00D12415">
            <w:pPr>
              <w:rPr>
                <w:rFonts w:cstheme="minorHAnsi"/>
              </w:rPr>
            </w:pPr>
          </w:p>
        </w:tc>
        <w:tc>
          <w:tcPr>
            <w:tcW w:w="1541" w:type="dxa"/>
            <w:vMerge/>
          </w:tcPr>
          <w:p w14:paraId="7963F045" w14:textId="77777777" w:rsidR="00334DD8" w:rsidRPr="0051053D" w:rsidRDefault="00334DD8" w:rsidP="00D12415"/>
        </w:tc>
      </w:tr>
      <w:tr w:rsidR="00334DD8" w:rsidRPr="0051053D" w14:paraId="0CBFF66D" w14:textId="77777777" w:rsidTr="00D12415">
        <w:trPr>
          <w:jc w:val="center"/>
        </w:trPr>
        <w:tc>
          <w:tcPr>
            <w:tcW w:w="775" w:type="dxa"/>
            <w:vAlign w:val="center"/>
          </w:tcPr>
          <w:p w14:paraId="10BBB879" w14:textId="77777777" w:rsidR="00334DD8" w:rsidRPr="009B4629" w:rsidRDefault="00334DD8" w:rsidP="00D12415">
            <w:pPr>
              <w:jc w:val="center"/>
              <w:rPr>
                <w:rFonts w:cstheme="minorHAnsi"/>
              </w:rPr>
            </w:pPr>
            <w:r>
              <w:rPr>
                <w:rFonts w:cstheme="minorHAnsi"/>
              </w:rPr>
              <w:t>4</w:t>
            </w:r>
          </w:p>
        </w:tc>
        <w:tc>
          <w:tcPr>
            <w:tcW w:w="770" w:type="dxa"/>
            <w:vAlign w:val="center"/>
          </w:tcPr>
          <w:p w14:paraId="0CA0AEDC" w14:textId="77777777" w:rsidR="00334DD8" w:rsidRPr="009B4629" w:rsidRDefault="00334DD8" w:rsidP="00D12415">
            <w:pPr>
              <w:jc w:val="center"/>
              <w:rPr>
                <w:rFonts w:cstheme="minorHAnsi"/>
              </w:rPr>
            </w:pPr>
            <w:r>
              <w:rPr>
                <w:rFonts w:cstheme="minorHAnsi"/>
              </w:rPr>
              <w:t>22</w:t>
            </w:r>
          </w:p>
        </w:tc>
        <w:tc>
          <w:tcPr>
            <w:tcW w:w="1096" w:type="dxa"/>
            <w:vAlign w:val="center"/>
          </w:tcPr>
          <w:p w14:paraId="0B60EA8B" w14:textId="77777777" w:rsidR="00334DD8" w:rsidRPr="009B4629" w:rsidRDefault="00334DD8" w:rsidP="00D12415">
            <w:pPr>
              <w:jc w:val="center"/>
              <w:rPr>
                <w:rFonts w:cstheme="minorHAnsi"/>
              </w:rPr>
            </w:pPr>
            <w:r>
              <w:rPr>
                <w:rFonts w:cstheme="minorHAnsi"/>
              </w:rPr>
              <w:t>Card</w:t>
            </w:r>
          </w:p>
        </w:tc>
        <w:tc>
          <w:tcPr>
            <w:tcW w:w="4211" w:type="dxa"/>
          </w:tcPr>
          <w:p w14:paraId="201287F3" w14:textId="77777777" w:rsidR="00334DD8" w:rsidRPr="009B4629" w:rsidRDefault="00334DD8" w:rsidP="00D12415">
            <w:pPr>
              <w:spacing w:line="276" w:lineRule="auto"/>
              <w:contextualSpacing/>
              <w:rPr>
                <w:rFonts w:eastAsiaTheme="minorHAnsi" w:cstheme="minorHAnsi"/>
                <w:lang w:bidi="my-MM"/>
              </w:rPr>
            </w:pPr>
            <w:r>
              <w:rPr>
                <w:rFonts w:cstheme="minorHAnsi"/>
                <w:b/>
                <w:bCs/>
                <w:lang w:val="en-GB"/>
              </w:rPr>
              <w:t>Ooredoo Mobile Prepaid Top-Up Card</w:t>
            </w:r>
          </w:p>
          <w:p w14:paraId="01F64AA0" w14:textId="77777777" w:rsidR="00334DD8" w:rsidRDefault="00334DD8" w:rsidP="00D12415">
            <w:pPr>
              <w:pStyle w:val="ListParagraph"/>
              <w:numPr>
                <w:ilvl w:val="0"/>
                <w:numId w:val="17"/>
              </w:numPr>
              <w:ind w:left="211" w:hanging="211"/>
              <w:rPr>
                <w:rFonts w:asciiTheme="minorHAnsi" w:hAnsiTheme="minorHAnsi" w:cstheme="minorHAnsi"/>
                <w:sz w:val="22"/>
                <w:szCs w:val="22"/>
                <w:lang w:val="en-GB"/>
              </w:rPr>
            </w:pPr>
            <w:r>
              <w:rPr>
                <w:rFonts w:asciiTheme="minorHAnsi" w:hAnsiTheme="minorHAnsi" w:cstheme="minorHAnsi"/>
                <w:sz w:val="22"/>
                <w:szCs w:val="22"/>
                <w:lang w:val="en-GB"/>
              </w:rPr>
              <w:t>5,000 MMK Card</w:t>
            </w:r>
          </w:p>
          <w:p w14:paraId="60998B54" w14:textId="77777777" w:rsidR="00334DD8" w:rsidRPr="009B4629" w:rsidRDefault="00334DD8" w:rsidP="00D12415">
            <w:pPr>
              <w:pStyle w:val="ListParagraph"/>
              <w:numPr>
                <w:ilvl w:val="0"/>
                <w:numId w:val="17"/>
              </w:numPr>
              <w:spacing w:after="60"/>
              <w:ind w:left="211" w:hanging="211"/>
              <w:rPr>
                <w:rFonts w:asciiTheme="minorHAnsi" w:hAnsiTheme="minorHAnsi" w:cstheme="minorHAnsi"/>
                <w:lang w:val="en-GB"/>
              </w:rPr>
            </w:pPr>
            <w:r w:rsidRPr="00465049">
              <w:rPr>
                <w:rFonts w:asciiTheme="minorHAnsi" w:hAnsiTheme="minorHAnsi" w:cstheme="minorHAnsi"/>
                <w:sz w:val="22"/>
                <w:szCs w:val="22"/>
                <w:lang w:val="en-GB"/>
              </w:rPr>
              <w:t>Support GSM Network –</w:t>
            </w:r>
            <w:r>
              <w:rPr>
                <w:rFonts w:asciiTheme="minorHAnsi" w:hAnsiTheme="minorHAnsi" w:cstheme="minorHAnsi"/>
                <w:sz w:val="22"/>
                <w:szCs w:val="22"/>
                <w:lang w:val="en-GB"/>
              </w:rPr>
              <w:t xml:space="preserve"> </w:t>
            </w:r>
            <w:r w:rsidRPr="00465049">
              <w:rPr>
                <w:rFonts w:asciiTheme="minorHAnsi" w:hAnsiTheme="minorHAnsi" w:cstheme="minorHAnsi"/>
                <w:sz w:val="22"/>
                <w:szCs w:val="22"/>
                <w:lang w:val="en-GB"/>
              </w:rPr>
              <w:t>3G &amp; above</w:t>
            </w:r>
          </w:p>
        </w:tc>
        <w:tc>
          <w:tcPr>
            <w:tcW w:w="1530" w:type="dxa"/>
            <w:vMerge/>
          </w:tcPr>
          <w:p w14:paraId="7D82FFFD" w14:textId="77777777" w:rsidR="00334DD8" w:rsidRPr="009B4629" w:rsidRDefault="00334DD8" w:rsidP="00D12415">
            <w:pPr>
              <w:rPr>
                <w:rFonts w:cstheme="minorHAnsi"/>
              </w:rPr>
            </w:pPr>
          </w:p>
        </w:tc>
        <w:tc>
          <w:tcPr>
            <w:tcW w:w="1541" w:type="dxa"/>
            <w:vMerge/>
          </w:tcPr>
          <w:p w14:paraId="25A38206" w14:textId="77777777" w:rsidR="00334DD8" w:rsidRPr="0051053D" w:rsidRDefault="00334DD8" w:rsidP="00D12415"/>
        </w:tc>
      </w:tr>
      <w:tr w:rsidR="00334DD8" w:rsidRPr="0051053D" w14:paraId="0A0F0A4D" w14:textId="77777777" w:rsidTr="00D12415">
        <w:trPr>
          <w:jc w:val="center"/>
        </w:trPr>
        <w:tc>
          <w:tcPr>
            <w:tcW w:w="775" w:type="dxa"/>
            <w:vAlign w:val="center"/>
          </w:tcPr>
          <w:p w14:paraId="3B5D69B2" w14:textId="77777777" w:rsidR="00334DD8" w:rsidRPr="009B4629" w:rsidRDefault="00334DD8" w:rsidP="00D12415">
            <w:pPr>
              <w:jc w:val="center"/>
              <w:rPr>
                <w:rFonts w:cstheme="minorHAnsi"/>
              </w:rPr>
            </w:pPr>
            <w:r>
              <w:rPr>
                <w:rFonts w:cstheme="minorHAnsi"/>
              </w:rPr>
              <w:t>5</w:t>
            </w:r>
          </w:p>
        </w:tc>
        <w:tc>
          <w:tcPr>
            <w:tcW w:w="770" w:type="dxa"/>
            <w:vAlign w:val="center"/>
          </w:tcPr>
          <w:p w14:paraId="09ACB10D" w14:textId="77777777" w:rsidR="00334DD8" w:rsidRPr="009B4629" w:rsidRDefault="00334DD8" w:rsidP="00D12415">
            <w:pPr>
              <w:jc w:val="center"/>
              <w:rPr>
                <w:rFonts w:cstheme="minorHAnsi"/>
              </w:rPr>
            </w:pPr>
            <w:r>
              <w:rPr>
                <w:rFonts w:cstheme="minorHAnsi"/>
              </w:rPr>
              <w:t>110</w:t>
            </w:r>
          </w:p>
        </w:tc>
        <w:tc>
          <w:tcPr>
            <w:tcW w:w="1096" w:type="dxa"/>
            <w:vAlign w:val="center"/>
          </w:tcPr>
          <w:p w14:paraId="4110FBF7" w14:textId="77777777" w:rsidR="00334DD8" w:rsidRPr="009B4629" w:rsidRDefault="00334DD8" w:rsidP="00D12415">
            <w:pPr>
              <w:jc w:val="center"/>
              <w:rPr>
                <w:rFonts w:cstheme="minorHAnsi"/>
              </w:rPr>
            </w:pPr>
            <w:r>
              <w:rPr>
                <w:rFonts w:cstheme="minorHAnsi"/>
              </w:rPr>
              <w:t>Card</w:t>
            </w:r>
          </w:p>
        </w:tc>
        <w:tc>
          <w:tcPr>
            <w:tcW w:w="4211" w:type="dxa"/>
          </w:tcPr>
          <w:p w14:paraId="439F0E11" w14:textId="77777777" w:rsidR="00334DD8" w:rsidRPr="009B4629" w:rsidRDefault="00334DD8" w:rsidP="00D12415">
            <w:pPr>
              <w:spacing w:line="276" w:lineRule="auto"/>
              <w:contextualSpacing/>
              <w:rPr>
                <w:rFonts w:eastAsiaTheme="minorHAnsi" w:cstheme="minorHAnsi"/>
                <w:lang w:bidi="my-MM"/>
              </w:rPr>
            </w:pPr>
            <w:r>
              <w:rPr>
                <w:rFonts w:cstheme="minorHAnsi"/>
                <w:b/>
                <w:bCs/>
                <w:lang w:val="en-GB"/>
              </w:rPr>
              <w:t>Telenor Mobile Prepaid Top-Up Card</w:t>
            </w:r>
          </w:p>
          <w:p w14:paraId="47EB8C20" w14:textId="77777777" w:rsidR="00334DD8" w:rsidRDefault="00334DD8" w:rsidP="00D12415">
            <w:pPr>
              <w:pStyle w:val="ListParagraph"/>
              <w:numPr>
                <w:ilvl w:val="0"/>
                <w:numId w:val="17"/>
              </w:numPr>
              <w:ind w:left="211" w:hanging="211"/>
              <w:rPr>
                <w:rFonts w:asciiTheme="minorHAnsi" w:hAnsiTheme="minorHAnsi" w:cstheme="minorHAnsi"/>
                <w:sz w:val="22"/>
                <w:szCs w:val="22"/>
                <w:lang w:val="en-GB"/>
              </w:rPr>
            </w:pPr>
            <w:r>
              <w:rPr>
                <w:rFonts w:asciiTheme="minorHAnsi" w:hAnsiTheme="minorHAnsi" w:cstheme="minorHAnsi"/>
                <w:sz w:val="22"/>
                <w:szCs w:val="22"/>
                <w:lang w:val="en-GB"/>
              </w:rPr>
              <w:t>10,000 MMK Card</w:t>
            </w:r>
          </w:p>
          <w:p w14:paraId="326B7B52" w14:textId="77777777" w:rsidR="00334DD8" w:rsidRPr="009B4629" w:rsidRDefault="00334DD8" w:rsidP="00D12415">
            <w:pPr>
              <w:pStyle w:val="ListParagraph"/>
              <w:numPr>
                <w:ilvl w:val="0"/>
                <w:numId w:val="17"/>
              </w:numPr>
              <w:spacing w:after="60"/>
              <w:ind w:left="211" w:hanging="211"/>
              <w:rPr>
                <w:rFonts w:asciiTheme="minorHAnsi" w:hAnsiTheme="minorHAnsi" w:cstheme="minorHAnsi"/>
                <w:sz w:val="22"/>
                <w:szCs w:val="22"/>
                <w:lang w:val="en-GB"/>
              </w:rPr>
            </w:pPr>
            <w:r w:rsidRPr="00465049">
              <w:rPr>
                <w:rFonts w:asciiTheme="minorHAnsi" w:hAnsiTheme="minorHAnsi" w:cstheme="minorHAnsi"/>
                <w:sz w:val="22"/>
                <w:szCs w:val="22"/>
                <w:lang w:val="en-GB"/>
              </w:rPr>
              <w:t>Support GSM Network –</w:t>
            </w:r>
            <w:r>
              <w:rPr>
                <w:rFonts w:asciiTheme="minorHAnsi" w:hAnsiTheme="minorHAnsi" w:cstheme="minorHAnsi"/>
                <w:sz w:val="22"/>
                <w:szCs w:val="22"/>
                <w:lang w:val="en-GB"/>
              </w:rPr>
              <w:t xml:space="preserve"> </w:t>
            </w:r>
            <w:r w:rsidRPr="00465049">
              <w:rPr>
                <w:rFonts w:asciiTheme="minorHAnsi" w:hAnsiTheme="minorHAnsi" w:cstheme="minorHAnsi"/>
                <w:sz w:val="22"/>
                <w:szCs w:val="22"/>
                <w:lang w:val="en-GB"/>
              </w:rPr>
              <w:t>3G &amp; above</w:t>
            </w:r>
            <w:r w:rsidRPr="009B4629">
              <w:rPr>
                <w:rFonts w:asciiTheme="minorHAnsi" w:hAnsiTheme="minorHAnsi" w:cstheme="minorHAnsi"/>
                <w:sz w:val="22"/>
                <w:szCs w:val="22"/>
                <w:lang w:val="en-GB"/>
              </w:rPr>
              <w:t xml:space="preserve"> </w:t>
            </w:r>
          </w:p>
        </w:tc>
        <w:tc>
          <w:tcPr>
            <w:tcW w:w="1530" w:type="dxa"/>
            <w:vMerge/>
          </w:tcPr>
          <w:p w14:paraId="6066CE81" w14:textId="77777777" w:rsidR="00334DD8" w:rsidRPr="009B4629" w:rsidRDefault="00334DD8" w:rsidP="00D12415">
            <w:pPr>
              <w:rPr>
                <w:rFonts w:cstheme="minorHAnsi"/>
              </w:rPr>
            </w:pPr>
          </w:p>
        </w:tc>
        <w:tc>
          <w:tcPr>
            <w:tcW w:w="1541" w:type="dxa"/>
            <w:vMerge/>
          </w:tcPr>
          <w:p w14:paraId="630D2345" w14:textId="77777777" w:rsidR="00334DD8" w:rsidRPr="0051053D" w:rsidRDefault="00334DD8" w:rsidP="00D12415"/>
        </w:tc>
      </w:tr>
      <w:tr w:rsidR="00334DD8" w:rsidRPr="0051053D" w14:paraId="2A4F9F58" w14:textId="77777777" w:rsidTr="00D12415">
        <w:trPr>
          <w:jc w:val="center"/>
        </w:trPr>
        <w:tc>
          <w:tcPr>
            <w:tcW w:w="775" w:type="dxa"/>
            <w:vAlign w:val="center"/>
          </w:tcPr>
          <w:p w14:paraId="7E0AE597" w14:textId="77777777" w:rsidR="00334DD8" w:rsidRPr="009B4629" w:rsidRDefault="00334DD8" w:rsidP="00D12415">
            <w:pPr>
              <w:jc w:val="center"/>
              <w:rPr>
                <w:rFonts w:cstheme="minorHAnsi"/>
              </w:rPr>
            </w:pPr>
            <w:r>
              <w:rPr>
                <w:rFonts w:cstheme="minorHAnsi"/>
              </w:rPr>
              <w:t>6</w:t>
            </w:r>
          </w:p>
        </w:tc>
        <w:tc>
          <w:tcPr>
            <w:tcW w:w="770" w:type="dxa"/>
            <w:vAlign w:val="center"/>
          </w:tcPr>
          <w:p w14:paraId="0316C5D9" w14:textId="77777777" w:rsidR="00334DD8" w:rsidRPr="009B4629" w:rsidRDefault="00334DD8" w:rsidP="00D12415">
            <w:pPr>
              <w:jc w:val="center"/>
              <w:rPr>
                <w:rFonts w:cstheme="minorHAnsi"/>
              </w:rPr>
            </w:pPr>
            <w:r>
              <w:rPr>
                <w:rFonts w:cstheme="minorHAnsi"/>
              </w:rPr>
              <w:t>22</w:t>
            </w:r>
          </w:p>
        </w:tc>
        <w:tc>
          <w:tcPr>
            <w:tcW w:w="1096" w:type="dxa"/>
            <w:vAlign w:val="center"/>
          </w:tcPr>
          <w:p w14:paraId="1BB0D034" w14:textId="77777777" w:rsidR="00334DD8" w:rsidRPr="009B4629" w:rsidRDefault="00334DD8" w:rsidP="00D12415">
            <w:pPr>
              <w:jc w:val="center"/>
              <w:rPr>
                <w:rFonts w:cstheme="minorHAnsi"/>
              </w:rPr>
            </w:pPr>
            <w:r>
              <w:rPr>
                <w:rFonts w:cstheme="minorHAnsi"/>
              </w:rPr>
              <w:t>Card</w:t>
            </w:r>
          </w:p>
        </w:tc>
        <w:tc>
          <w:tcPr>
            <w:tcW w:w="4211" w:type="dxa"/>
          </w:tcPr>
          <w:p w14:paraId="69302179" w14:textId="77777777" w:rsidR="00334DD8" w:rsidRPr="009B4629" w:rsidRDefault="00334DD8" w:rsidP="00D12415">
            <w:pPr>
              <w:spacing w:line="276" w:lineRule="auto"/>
              <w:contextualSpacing/>
              <w:rPr>
                <w:rFonts w:eastAsiaTheme="minorHAnsi" w:cstheme="minorHAnsi"/>
                <w:lang w:bidi="my-MM"/>
              </w:rPr>
            </w:pPr>
            <w:r>
              <w:rPr>
                <w:rFonts w:cstheme="minorHAnsi"/>
                <w:b/>
                <w:bCs/>
                <w:lang w:val="en-GB"/>
              </w:rPr>
              <w:t>Telenor Mobile Prepaid Top-Up Card</w:t>
            </w:r>
          </w:p>
          <w:p w14:paraId="768113D8" w14:textId="77777777" w:rsidR="00334DD8" w:rsidRDefault="00334DD8" w:rsidP="00D12415">
            <w:pPr>
              <w:pStyle w:val="ListParagraph"/>
              <w:numPr>
                <w:ilvl w:val="0"/>
                <w:numId w:val="17"/>
              </w:numPr>
              <w:ind w:left="211" w:hanging="211"/>
              <w:rPr>
                <w:rFonts w:asciiTheme="minorHAnsi" w:hAnsiTheme="minorHAnsi" w:cstheme="minorHAnsi"/>
                <w:sz w:val="22"/>
                <w:szCs w:val="22"/>
                <w:lang w:val="en-GB"/>
              </w:rPr>
            </w:pPr>
            <w:r>
              <w:rPr>
                <w:rFonts w:asciiTheme="minorHAnsi" w:hAnsiTheme="minorHAnsi" w:cstheme="minorHAnsi"/>
                <w:sz w:val="22"/>
                <w:szCs w:val="22"/>
                <w:lang w:val="en-GB"/>
              </w:rPr>
              <w:t>5,000 MMK Card</w:t>
            </w:r>
          </w:p>
          <w:p w14:paraId="50E32D18" w14:textId="77777777" w:rsidR="00334DD8" w:rsidRPr="009B651C" w:rsidRDefault="00334DD8" w:rsidP="00D12415">
            <w:pPr>
              <w:pStyle w:val="ListParagraph"/>
              <w:numPr>
                <w:ilvl w:val="0"/>
                <w:numId w:val="17"/>
              </w:numPr>
              <w:ind w:left="211" w:hanging="211"/>
              <w:rPr>
                <w:rFonts w:asciiTheme="minorHAnsi" w:hAnsiTheme="minorHAnsi" w:cstheme="minorHAnsi"/>
                <w:sz w:val="22"/>
                <w:szCs w:val="22"/>
                <w:lang w:val="en-GB"/>
              </w:rPr>
            </w:pPr>
            <w:r w:rsidRPr="00465049">
              <w:rPr>
                <w:rFonts w:asciiTheme="minorHAnsi" w:hAnsiTheme="minorHAnsi" w:cstheme="minorHAnsi"/>
                <w:sz w:val="22"/>
                <w:szCs w:val="22"/>
                <w:lang w:val="en-GB"/>
              </w:rPr>
              <w:t>Support GSM Network –</w:t>
            </w:r>
            <w:r>
              <w:rPr>
                <w:rFonts w:asciiTheme="minorHAnsi" w:hAnsiTheme="minorHAnsi" w:cstheme="minorHAnsi"/>
                <w:sz w:val="22"/>
                <w:szCs w:val="22"/>
                <w:lang w:val="en-GB"/>
              </w:rPr>
              <w:t xml:space="preserve"> </w:t>
            </w:r>
            <w:r w:rsidRPr="00465049">
              <w:rPr>
                <w:rFonts w:asciiTheme="minorHAnsi" w:hAnsiTheme="minorHAnsi" w:cstheme="minorHAnsi"/>
                <w:sz w:val="22"/>
                <w:szCs w:val="22"/>
                <w:lang w:val="en-GB"/>
              </w:rPr>
              <w:t>3G &amp; above</w:t>
            </w:r>
          </w:p>
        </w:tc>
        <w:tc>
          <w:tcPr>
            <w:tcW w:w="1530" w:type="dxa"/>
            <w:vMerge/>
          </w:tcPr>
          <w:p w14:paraId="3645D3A7" w14:textId="77777777" w:rsidR="00334DD8" w:rsidRPr="009B4629" w:rsidRDefault="00334DD8" w:rsidP="00D12415">
            <w:pPr>
              <w:rPr>
                <w:rFonts w:cstheme="minorHAnsi"/>
              </w:rPr>
            </w:pPr>
          </w:p>
        </w:tc>
        <w:tc>
          <w:tcPr>
            <w:tcW w:w="1541" w:type="dxa"/>
            <w:vMerge/>
          </w:tcPr>
          <w:p w14:paraId="2FD570A8" w14:textId="77777777" w:rsidR="00334DD8" w:rsidRPr="0051053D" w:rsidRDefault="00334DD8" w:rsidP="00D12415"/>
        </w:tc>
      </w:tr>
    </w:tbl>
    <w:p w14:paraId="4BA0C34B" w14:textId="77777777" w:rsidR="00334DD8" w:rsidRPr="00237EA7" w:rsidRDefault="00334DD8" w:rsidP="00D02ACB">
      <w:pPr>
        <w:suppressAutoHyphens/>
        <w:spacing w:after="0"/>
        <w:rPr>
          <w:rFonts w:cstheme="minorHAnsi"/>
          <w:b/>
        </w:rPr>
      </w:pPr>
      <w:r w:rsidRPr="00101774">
        <w:rPr>
          <w:rFonts w:cstheme="minorHAnsi"/>
          <w:b/>
          <w:i/>
        </w:rPr>
        <w:t>Note</w:t>
      </w:r>
      <w:r w:rsidRPr="00101774">
        <w:rPr>
          <w:rFonts w:cstheme="minorHAnsi"/>
          <w:b/>
        </w:rPr>
        <w:t>: In case of discrepancy between unit price and total, the unit price shall prevail.</w:t>
      </w:r>
      <w:bookmarkEnd w:id="4"/>
    </w:p>
    <w:p w14:paraId="02E56387" w14:textId="77777777" w:rsidR="00334DD8" w:rsidRDefault="00334DD8" w:rsidP="00BA558E">
      <w:pPr>
        <w:spacing w:after="0"/>
        <w:jc w:val="both"/>
        <w:rPr>
          <w:rFonts w:cstheme="minorHAnsi"/>
          <w:b/>
          <w:bCs/>
        </w:rPr>
      </w:pPr>
      <w:bookmarkStart w:id="5" w:name="_Hlk46406107"/>
    </w:p>
    <w:p w14:paraId="222E44FE" w14:textId="25F6AA06" w:rsidR="00237EA7" w:rsidRPr="00101774" w:rsidRDefault="00237EA7" w:rsidP="00D02ACB">
      <w:pPr>
        <w:spacing w:after="0"/>
        <w:jc w:val="both"/>
        <w:rPr>
          <w:rFonts w:cstheme="minorHAnsi"/>
          <w:b/>
          <w:bCs/>
        </w:rPr>
      </w:pPr>
      <w:r w:rsidRPr="00101774">
        <w:rPr>
          <w:rFonts w:cstheme="minorHAnsi"/>
          <w:b/>
          <w:bCs/>
        </w:rPr>
        <w:t>Qualifications of the Organization</w:t>
      </w:r>
    </w:p>
    <w:p w14:paraId="64199259" w14:textId="77777777" w:rsidR="00237EA7" w:rsidRPr="00101774" w:rsidRDefault="00237EA7" w:rsidP="00237EA7">
      <w:pPr>
        <w:pStyle w:val="ListParagraph"/>
        <w:numPr>
          <w:ilvl w:val="0"/>
          <w:numId w:val="12"/>
        </w:numPr>
        <w:jc w:val="both"/>
        <w:rPr>
          <w:rFonts w:asciiTheme="minorHAnsi" w:hAnsiTheme="minorHAnsi" w:cstheme="minorHAnsi"/>
          <w:sz w:val="22"/>
          <w:szCs w:val="22"/>
        </w:rPr>
      </w:pPr>
      <w:r w:rsidRPr="00101774">
        <w:rPr>
          <w:rFonts w:asciiTheme="minorHAnsi" w:hAnsiTheme="minorHAnsi" w:cstheme="minorHAnsi"/>
          <w:sz w:val="22"/>
          <w:szCs w:val="22"/>
        </w:rPr>
        <w:t>Legally constituted organization with a valid registration</w:t>
      </w:r>
    </w:p>
    <w:p w14:paraId="44104483" w14:textId="33264B5D" w:rsidR="00237EA7" w:rsidRDefault="00237EA7" w:rsidP="00237EA7">
      <w:pPr>
        <w:pStyle w:val="ListParagraph"/>
        <w:numPr>
          <w:ilvl w:val="0"/>
          <w:numId w:val="12"/>
        </w:numPr>
        <w:jc w:val="both"/>
        <w:rPr>
          <w:rFonts w:asciiTheme="minorHAnsi" w:hAnsiTheme="minorHAnsi" w:cstheme="minorHAnsi"/>
          <w:sz w:val="22"/>
          <w:szCs w:val="22"/>
        </w:rPr>
      </w:pPr>
      <w:r w:rsidRPr="00101774">
        <w:rPr>
          <w:rFonts w:asciiTheme="minorHAnsi" w:hAnsiTheme="minorHAnsi" w:cstheme="minorHAnsi"/>
          <w:sz w:val="22"/>
          <w:szCs w:val="22"/>
        </w:rPr>
        <w:t xml:space="preserve">Minimum </w:t>
      </w:r>
      <w:r>
        <w:rPr>
          <w:rFonts w:asciiTheme="minorHAnsi" w:hAnsiTheme="minorHAnsi" w:cstheme="minorHAnsi"/>
          <w:sz w:val="22"/>
          <w:szCs w:val="22"/>
        </w:rPr>
        <w:t>3</w:t>
      </w:r>
      <w:r w:rsidRPr="00101774">
        <w:rPr>
          <w:rFonts w:asciiTheme="minorHAnsi" w:hAnsiTheme="minorHAnsi" w:cstheme="minorHAnsi"/>
          <w:sz w:val="22"/>
          <w:szCs w:val="22"/>
        </w:rPr>
        <w:t xml:space="preserve"> years of experience in providing </w:t>
      </w:r>
      <w:r w:rsidR="00C915FF">
        <w:rPr>
          <w:rFonts w:asciiTheme="minorHAnsi" w:hAnsiTheme="minorHAnsi" w:cstheme="minorHAnsi"/>
          <w:sz w:val="22"/>
          <w:szCs w:val="22"/>
        </w:rPr>
        <w:t>similar</w:t>
      </w:r>
      <w:r>
        <w:rPr>
          <w:rFonts w:asciiTheme="minorHAnsi" w:hAnsiTheme="minorHAnsi" w:cstheme="minorHAnsi"/>
          <w:sz w:val="22"/>
          <w:szCs w:val="22"/>
        </w:rPr>
        <w:t xml:space="preserve"> service</w:t>
      </w:r>
      <w:r w:rsidR="00C915FF">
        <w:rPr>
          <w:rFonts w:asciiTheme="minorHAnsi" w:hAnsiTheme="minorHAnsi" w:cstheme="minorHAnsi"/>
          <w:sz w:val="22"/>
          <w:szCs w:val="22"/>
        </w:rPr>
        <w:t xml:space="preserve">s in ICT </w:t>
      </w:r>
      <w:r w:rsidR="00B8469C">
        <w:rPr>
          <w:rFonts w:asciiTheme="minorHAnsi" w:hAnsiTheme="minorHAnsi" w:cstheme="minorHAnsi"/>
          <w:sz w:val="22"/>
          <w:szCs w:val="22"/>
        </w:rPr>
        <w:t xml:space="preserve">&amp; Telecommunication </w:t>
      </w:r>
      <w:r w:rsidR="00C915FF">
        <w:rPr>
          <w:rFonts w:asciiTheme="minorHAnsi" w:hAnsiTheme="minorHAnsi" w:cstheme="minorHAnsi"/>
          <w:sz w:val="22"/>
          <w:szCs w:val="22"/>
        </w:rPr>
        <w:t>field</w:t>
      </w:r>
      <w:r>
        <w:rPr>
          <w:rFonts w:asciiTheme="minorHAnsi" w:hAnsiTheme="minorHAnsi" w:cstheme="minorHAnsi"/>
          <w:sz w:val="22"/>
          <w:szCs w:val="22"/>
        </w:rPr>
        <w:t>.</w:t>
      </w:r>
    </w:p>
    <w:p w14:paraId="3F2129CF" w14:textId="29ED6458" w:rsidR="00237EA7" w:rsidRPr="00215FD4" w:rsidRDefault="00237EA7" w:rsidP="00237EA7">
      <w:pPr>
        <w:pStyle w:val="ListParagraph"/>
        <w:numPr>
          <w:ilvl w:val="0"/>
          <w:numId w:val="12"/>
        </w:numPr>
        <w:jc w:val="both"/>
        <w:rPr>
          <w:rFonts w:asciiTheme="minorHAnsi" w:hAnsiTheme="minorHAnsi" w:cstheme="minorHAnsi"/>
          <w:sz w:val="22"/>
          <w:szCs w:val="22"/>
        </w:rPr>
      </w:pPr>
      <w:r w:rsidRPr="00215FD4">
        <w:rPr>
          <w:rFonts w:asciiTheme="minorHAnsi" w:hAnsiTheme="minorHAnsi" w:cstheme="minorHAnsi"/>
          <w:sz w:val="22"/>
          <w:szCs w:val="22"/>
        </w:rPr>
        <w:t xml:space="preserve">Must have </w:t>
      </w:r>
      <w:r w:rsidR="00996310">
        <w:rPr>
          <w:rFonts w:asciiTheme="minorHAnsi" w:hAnsiTheme="minorHAnsi" w:cstheme="minorHAnsi"/>
          <w:sz w:val="22"/>
          <w:szCs w:val="22"/>
        </w:rPr>
        <w:t>service center</w:t>
      </w:r>
      <w:r w:rsidRPr="00215FD4">
        <w:rPr>
          <w:rFonts w:asciiTheme="minorHAnsi" w:hAnsiTheme="minorHAnsi" w:cstheme="minorHAnsi"/>
          <w:sz w:val="22"/>
          <w:szCs w:val="22"/>
        </w:rPr>
        <w:t xml:space="preserve"> in Myanmar for </w:t>
      </w:r>
      <w:r w:rsidR="00C915FF">
        <w:rPr>
          <w:rFonts w:asciiTheme="minorHAnsi" w:hAnsiTheme="minorHAnsi" w:cstheme="minorHAnsi"/>
          <w:sz w:val="22"/>
          <w:szCs w:val="22"/>
        </w:rPr>
        <w:t xml:space="preserve">top-up </w:t>
      </w:r>
      <w:r w:rsidRPr="00215FD4">
        <w:rPr>
          <w:rFonts w:asciiTheme="minorHAnsi" w:hAnsiTheme="minorHAnsi" w:cstheme="minorHAnsi"/>
          <w:sz w:val="22"/>
          <w:szCs w:val="22"/>
        </w:rPr>
        <w:t>services.</w:t>
      </w:r>
      <w:r w:rsidR="003C028A">
        <w:rPr>
          <w:rFonts w:asciiTheme="minorHAnsi" w:hAnsiTheme="minorHAnsi" w:cstheme="minorHAnsi"/>
          <w:sz w:val="22"/>
          <w:szCs w:val="22"/>
        </w:rPr>
        <w:t xml:space="preserve"> </w:t>
      </w:r>
      <w:r w:rsidR="003C028A" w:rsidRPr="003C028A">
        <w:rPr>
          <w:rFonts w:asciiTheme="minorHAnsi" w:hAnsiTheme="minorHAnsi" w:cstheme="minorHAnsi"/>
          <w:sz w:val="22"/>
          <w:szCs w:val="22"/>
        </w:rPr>
        <w:t>Detail address must be provided.</w:t>
      </w:r>
    </w:p>
    <w:p w14:paraId="764DCA54" w14:textId="77777777" w:rsidR="00237EA7" w:rsidRPr="00215FD4" w:rsidRDefault="00237EA7" w:rsidP="00237EA7">
      <w:pPr>
        <w:pStyle w:val="ListParagraph"/>
        <w:numPr>
          <w:ilvl w:val="0"/>
          <w:numId w:val="12"/>
        </w:numPr>
        <w:jc w:val="both"/>
        <w:rPr>
          <w:rFonts w:asciiTheme="minorHAnsi" w:hAnsiTheme="minorHAnsi" w:cstheme="minorHAnsi"/>
          <w:sz w:val="22"/>
          <w:szCs w:val="22"/>
        </w:rPr>
      </w:pPr>
      <w:r w:rsidRPr="00215FD4">
        <w:rPr>
          <w:rFonts w:asciiTheme="minorHAnsi" w:hAnsiTheme="minorHAnsi" w:cstheme="minorHAnsi"/>
          <w:sz w:val="22"/>
          <w:szCs w:val="22"/>
        </w:rPr>
        <w:t>Completeness of the Quotation (all Returnable Bidding Forms and other documentation requested have been provided and are complete)</w:t>
      </w:r>
    </w:p>
    <w:p w14:paraId="2157FA72" w14:textId="77777777" w:rsidR="00237EA7" w:rsidRPr="00215FD4" w:rsidRDefault="00237EA7" w:rsidP="00237EA7">
      <w:pPr>
        <w:pStyle w:val="ListParagraph"/>
        <w:numPr>
          <w:ilvl w:val="0"/>
          <w:numId w:val="12"/>
        </w:numPr>
        <w:jc w:val="both"/>
        <w:rPr>
          <w:rFonts w:asciiTheme="minorHAnsi" w:hAnsiTheme="minorHAnsi" w:cstheme="minorHAnsi"/>
          <w:sz w:val="22"/>
          <w:szCs w:val="22"/>
        </w:rPr>
      </w:pPr>
      <w:r w:rsidRPr="00215FD4">
        <w:rPr>
          <w:rFonts w:asciiTheme="minorHAnsi" w:hAnsiTheme="minorHAnsi" w:cstheme="minorHAnsi"/>
          <w:sz w:val="22"/>
          <w:szCs w:val="22"/>
        </w:rPr>
        <w:t xml:space="preserve">Accept UN Women General Conditions of Contract  </w:t>
      </w:r>
    </w:p>
    <w:p w14:paraId="472F99B1" w14:textId="77777777" w:rsidR="00237EA7" w:rsidRPr="00215FD4" w:rsidRDefault="00237EA7" w:rsidP="00237EA7">
      <w:pPr>
        <w:pStyle w:val="ListParagraph"/>
        <w:numPr>
          <w:ilvl w:val="0"/>
          <w:numId w:val="12"/>
        </w:numPr>
        <w:jc w:val="both"/>
        <w:rPr>
          <w:rFonts w:asciiTheme="minorHAnsi" w:hAnsiTheme="minorHAnsi" w:cstheme="minorHAnsi"/>
          <w:sz w:val="22"/>
          <w:szCs w:val="22"/>
        </w:rPr>
      </w:pPr>
      <w:r w:rsidRPr="00215FD4">
        <w:rPr>
          <w:rFonts w:asciiTheme="minorHAnsi" w:hAnsiTheme="minorHAnsi" w:cstheme="minorHAnsi"/>
          <w:sz w:val="22"/>
          <w:szCs w:val="22"/>
        </w:rPr>
        <w:t xml:space="preserve">Compliance with Eligibility Criteria </w:t>
      </w:r>
    </w:p>
    <w:p w14:paraId="0827F093" w14:textId="77777777" w:rsidR="00237EA7" w:rsidRPr="00B23E91" w:rsidRDefault="00237EA7" w:rsidP="00D02ACB">
      <w:pPr>
        <w:spacing w:after="0"/>
        <w:jc w:val="both"/>
        <w:rPr>
          <w:rFonts w:cstheme="minorHAnsi"/>
          <w:lang w:val="en-US"/>
        </w:rPr>
      </w:pPr>
    </w:p>
    <w:p w14:paraId="7F44DFA3" w14:textId="77777777" w:rsidR="00237EA7" w:rsidRPr="00101774" w:rsidRDefault="00237EA7" w:rsidP="00D02ACB">
      <w:pPr>
        <w:spacing w:after="0"/>
        <w:jc w:val="both"/>
        <w:rPr>
          <w:rFonts w:cstheme="minorHAnsi"/>
          <w:b/>
          <w:bCs/>
        </w:rPr>
      </w:pPr>
      <w:r w:rsidRPr="00101774">
        <w:rPr>
          <w:rFonts w:cstheme="minorHAnsi"/>
          <w:b/>
          <w:bCs/>
        </w:rPr>
        <w:t>Submission of Proposal</w:t>
      </w:r>
    </w:p>
    <w:p w14:paraId="10445ED0" w14:textId="77777777" w:rsidR="00237EA7" w:rsidRPr="00101774" w:rsidRDefault="00237EA7" w:rsidP="00D02ACB">
      <w:pPr>
        <w:spacing w:after="0"/>
        <w:jc w:val="both"/>
        <w:rPr>
          <w:rFonts w:cstheme="minorHAnsi"/>
        </w:rPr>
      </w:pPr>
      <w:r w:rsidRPr="00101774">
        <w:rPr>
          <w:rFonts w:cstheme="minorHAnsi"/>
        </w:rPr>
        <w:t>The submission package includes;</w:t>
      </w:r>
    </w:p>
    <w:p w14:paraId="5EC19B94" w14:textId="77777777" w:rsidR="00237EA7" w:rsidRPr="00101774" w:rsidRDefault="00237EA7" w:rsidP="00237EA7">
      <w:pPr>
        <w:pStyle w:val="ListParagraph"/>
        <w:numPr>
          <w:ilvl w:val="0"/>
          <w:numId w:val="12"/>
        </w:numPr>
        <w:jc w:val="both"/>
        <w:rPr>
          <w:rFonts w:asciiTheme="minorHAnsi" w:hAnsiTheme="minorHAnsi" w:cstheme="minorHAnsi"/>
          <w:sz w:val="22"/>
          <w:szCs w:val="22"/>
        </w:rPr>
      </w:pPr>
      <w:r>
        <w:rPr>
          <w:rFonts w:asciiTheme="minorHAnsi" w:hAnsiTheme="minorHAnsi" w:cstheme="minorHAnsi"/>
          <w:sz w:val="22"/>
          <w:szCs w:val="22"/>
        </w:rPr>
        <w:t xml:space="preserve">Valid </w:t>
      </w:r>
      <w:r w:rsidRPr="00101774">
        <w:rPr>
          <w:rFonts w:asciiTheme="minorHAnsi" w:hAnsiTheme="minorHAnsi" w:cstheme="minorHAnsi"/>
          <w:sz w:val="22"/>
          <w:szCs w:val="22"/>
        </w:rPr>
        <w:t>Company registration</w:t>
      </w:r>
    </w:p>
    <w:p w14:paraId="447A660A" w14:textId="77777777" w:rsidR="00237EA7" w:rsidRPr="00D31AEB" w:rsidRDefault="00237EA7" w:rsidP="00237EA7">
      <w:pPr>
        <w:pStyle w:val="ListParagraph"/>
        <w:numPr>
          <w:ilvl w:val="0"/>
          <w:numId w:val="12"/>
        </w:numPr>
        <w:jc w:val="both"/>
        <w:rPr>
          <w:rFonts w:asciiTheme="minorHAnsi" w:hAnsiTheme="minorHAnsi" w:cstheme="minorHAnsi"/>
          <w:sz w:val="22"/>
          <w:szCs w:val="22"/>
        </w:rPr>
      </w:pPr>
      <w:r w:rsidRPr="00D31AEB">
        <w:rPr>
          <w:rFonts w:asciiTheme="minorHAnsi" w:hAnsiTheme="minorHAnsi" w:cstheme="minorHAnsi"/>
          <w:sz w:val="22"/>
          <w:szCs w:val="22"/>
        </w:rPr>
        <w:t xml:space="preserve">Quotation Submission Form and Quotation Format </w:t>
      </w:r>
    </w:p>
    <w:p w14:paraId="3881D9EA" w14:textId="726CB0D4" w:rsidR="00237EA7" w:rsidRPr="00D02ACB" w:rsidRDefault="00237EA7" w:rsidP="00D02ACB">
      <w:pPr>
        <w:pStyle w:val="ListParagraph"/>
        <w:numPr>
          <w:ilvl w:val="0"/>
          <w:numId w:val="12"/>
        </w:numPr>
        <w:jc w:val="both"/>
        <w:rPr>
          <w:rFonts w:cstheme="minorHAnsi"/>
        </w:rPr>
      </w:pPr>
      <w:r w:rsidRPr="00D02ACB">
        <w:rPr>
          <w:rFonts w:asciiTheme="minorHAnsi" w:hAnsiTheme="minorHAnsi" w:cstheme="minorHAnsi"/>
          <w:sz w:val="22"/>
          <w:szCs w:val="22"/>
        </w:rPr>
        <w:t xml:space="preserve">Voluntary Agreement </w:t>
      </w:r>
      <w:bookmarkEnd w:id="5"/>
    </w:p>
    <w:sectPr w:rsidR="00237EA7" w:rsidRPr="00D02ACB" w:rsidSect="007F2CF0">
      <w:headerReference w:type="default" r:id="rId12"/>
      <w:footerReference w:type="default" r:id="rId13"/>
      <w:pgSz w:w="11906" w:h="16838"/>
      <w:pgMar w:top="1463" w:right="1417" w:bottom="72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5B2CF" w14:textId="77777777" w:rsidR="00C70C7F" w:rsidRDefault="00C70C7F">
      <w:pPr>
        <w:spacing w:after="0" w:line="240" w:lineRule="auto"/>
      </w:pPr>
      <w:r>
        <w:separator/>
      </w:r>
    </w:p>
  </w:endnote>
  <w:endnote w:type="continuationSeparator" w:id="0">
    <w:p w14:paraId="44965579" w14:textId="77777777" w:rsidR="00C70C7F" w:rsidRDefault="00C70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altName w:val="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4A0" w:firstRow="1" w:lastRow="0" w:firstColumn="1" w:lastColumn="0" w:noHBand="0" w:noVBand="1"/>
    </w:tblPr>
    <w:tblGrid>
      <w:gridCol w:w="3024"/>
      <w:gridCol w:w="3024"/>
      <w:gridCol w:w="3024"/>
    </w:tblGrid>
    <w:tr w:rsidR="51179430" w14:paraId="735EBE76" w14:textId="77777777" w:rsidTr="51179430">
      <w:tc>
        <w:tcPr>
          <w:tcW w:w="3024" w:type="dxa"/>
        </w:tcPr>
        <w:p w14:paraId="3DB535D5" w14:textId="04529F05" w:rsidR="51179430" w:rsidRDefault="51179430" w:rsidP="51179430">
          <w:pPr>
            <w:pStyle w:val="Header"/>
            <w:ind w:left="-115"/>
          </w:pPr>
        </w:p>
      </w:tc>
      <w:tc>
        <w:tcPr>
          <w:tcW w:w="3024" w:type="dxa"/>
        </w:tcPr>
        <w:p w14:paraId="6590331B" w14:textId="435C5A59" w:rsidR="51179430" w:rsidRDefault="51179430" w:rsidP="51179430">
          <w:pPr>
            <w:pStyle w:val="Header"/>
            <w:jc w:val="center"/>
          </w:pPr>
        </w:p>
      </w:tc>
      <w:tc>
        <w:tcPr>
          <w:tcW w:w="3024" w:type="dxa"/>
        </w:tcPr>
        <w:p w14:paraId="3F9BFDAC" w14:textId="1DA26466" w:rsidR="51179430" w:rsidRDefault="51179430" w:rsidP="51179430">
          <w:pPr>
            <w:pStyle w:val="Header"/>
            <w:ind w:right="-115"/>
            <w:jc w:val="right"/>
          </w:pPr>
        </w:p>
      </w:tc>
    </w:tr>
  </w:tbl>
  <w:p w14:paraId="5D22CCFF" w14:textId="61F72EB9" w:rsidR="51179430" w:rsidRDefault="51179430" w:rsidP="51179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8A87B" w14:textId="77777777" w:rsidR="00C70C7F" w:rsidRDefault="00C70C7F">
      <w:pPr>
        <w:spacing w:after="0" w:line="240" w:lineRule="auto"/>
      </w:pPr>
      <w:r>
        <w:separator/>
      </w:r>
    </w:p>
  </w:footnote>
  <w:footnote w:type="continuationSeparator" w:id="0">
    <w:p w14:paraId="6457BC3E" w14:textId="77777777" w:rsidR="00C70C7F" w:rsidRDefault="00C70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FC845" w14:textId="4FA7F32D" w:rsidR="51179430" w:rsidRDefault="007F2CF0" w:rsidP="51179430">
    <w:pPr>
      <w:pStyle w:val="Header"/>
    </w:pPr>
    <w:r>
      <w:rPr>
        <w:noProof/>
      </w:rPr>
      <w:drawing>
        <wp:anchor distT="0" distB="0" distL="114300" distR="114300" simplePos="0" relativeHeight="251658240" behindDoc="0" locked="0" layoutInCell="1" allowOverlap="1" wp14:anchorId="7928D7EA" wp14:editId="2274AB71">
          <wp:simplePos x="0" y="0"/>
          <wp:positionH relativeFrom="column">
            <wp:posOffset>-1273810</wp:posOffset>
          </wp:positionH>
          <wp:positionV relativeFrom="paragraph">
            <wp:posOffset>-440039</wp:posOffset>
          </wp:positionV>
          <wp:extent cx="7924965" cy="7905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924965" cy="7905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B7457"/>
    <w:multiLevelType w:val="hybridMultilevel"/>
    <w:tmpl w:val="DB387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320E7"/>
    <w:multiLevelType w:val="hybridMultilevel"/>
    <w:tmpl w:val="706A16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27D7614"/>
    <w:multiLevelType w:val="hybridMultilevel"/>
    <w:tmpl w:val="42B6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8D3307"/>
    <w:multiLevelType w:val="multilevel"/>
    <w:tmpl w:val="B394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DD124D"/>
    <w:multiLevelType w:val="hybridMultilevel"/>
    <w:tmpl w:val="AD8A3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93140"/>
    <w:multiLevelType w:val="hybridMultilevel"/>
    <w:tmpl w:val="354E6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2" w15:restartNumberingAfterBreak="0">
    <w:nsid w:val="2202610E"/>
    <w:multiLevelType w:val="hybridMultilevel"/>
    <w:tmpl w:val="3FCC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5E2DA3"/>
    <w:multiLevelType w:val="hybridMultilevel"/>
    <w:tmpl w:val="28DAA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AC61CB"/>
    <w:multiLevelType w:val="hybridMultilevel"/>
    <w:tmpl w:val="0758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73A5A"/>
    <w:multiLevelType w:val="hybridMultilevel"/>
    <w:tmpl w:val="969A3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AC3AD2"/>
    <w:multiLevelType w:val="hybridMultilevel"/>
    <w:tmpl w:val="A57E42B8"/>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15:restartNumberingAfterBreak="0">
    <w:nsid w:val="54F052CB"/>
    <w:multiLevelType w:val="hybridMultilevel"/>
    <w:tmpl w:val="DD4AF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70112E3"/>
    <w:multiLevelType w:val="hybridMultilevel"/>
    <w:tmpl w:val="6CF09B2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AD5C7A"/>
    <w:multiLevelType w:val="hybridMultilevel"/>
    <w:tmpl w:val="19CAB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8D17F2"/>
    <w:multiLevelType w:val="hybridMultilevel"/>
    <w:tmpl w:val="BBA0680E"/>
    <w:lvl w:ilvl="0" w:tplc="C7884DA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D35C1F"/>
    <w:multiLevelType w:val="hybridMultilevel"/>
    <w:tmpl w:val="2EF4D48E"/>
    <w:lvl w:ilvl="0" w:tplc="58CCE6E2">
      <w:start w:val="1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592348"/>
    <w:multiLevelType w:val="hybridMultilevel"/>
    <w:tmpl w:val="9F1C71D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40034B"/>
    <w:multiLevelType w:val="hybridMultilevel"/>
    <w:tmpl w:val="C8F2962E"/>
    <w:lvl w:ilvl="0" w:tplc="C7884DA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51B90"/>
    <w:multiLevelType w:val="hybridMultilevel"/>
    <w:tmpl w:val="54D26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B926155"/>
    <w:multiLevelType w:val="hybridMultilevel"/>
    <w:tmpl w:val="90823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D756AC"/>
    <w:multiLevelType w:val="hybridMultilevel"/>
    <w:tmpl w:val="AC08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3"/>
  </w:num>
  <w:num w:numId="4">
    <w:abstractNumId w:val="4"/>
  </w:num>
  <w:num w:numId="5">
    <w:abstractNumId w:val="8"/>
  </w:num>
  <w:num w:numId="6">
    <w:abstractNumId w:val="14"/>
  </w:num>
  <w:num w:numId="7">
    <w:abstractNumId w:val="1"/>
  </w:num>
  <w:num w:numId="8">
    <w:abstractNumId w:val="26"/>
  </w:num>
  <w:num w:numId="9">
    <w:abstractNumId w:val="11"/>
  </w:num>
  <w:num w:numId="10">
    <w:abstractNumId w:val="17"/>
  </w:num>
  <w:num w:numId="11">
    <w:abstractNumId w:val="9"/>
  </w:num>
  <w:num w:numId="12">
    <w:abstractNumId w:val="27"/>
  </w:num>
  <w:num w:numId="13">
    <w:abstractNumId w:val="23"/>
  </w:num>
  <w:num w:numId="14">
    <w:abstractNumId w:val="18"/>
  </w:num>
  <w:num w:numId="15">
    <w:abstractNumId w:val="25"/>
  </w:num>
  <w:num w:numId="16">
    <w:abstractNumId w:val="22"/>
  </w:num>
  <w:num w:numId="17">
    <w:abstractNumId w:val="2"/>
  </w:num>
  <w:num w:numId="18">
    <w:abstractNumId w:val="19"/>
  </w:num>
  <w:num w:numId="19">
    <w:abstractNumId w:val="28"/>
  </w:num>
  <w:num w:numId="20">
    <w:abstractNumId w:val="30"/>
  </w:num>
  <w:num w:numId="21">
    <w:abstractNumId w:val="20"/>
  </w:num>
  <w:num w:numId="22">
    <w:abstractNumId w:val="13"/>
  </w:num>
  <w:num w:numId="23">
    <w:abstractNumId w:val="29"/>
  </w:num>
  <w:num w:numId="24">
    <w:abstractNumId w:val="12"/>
  </w:num>
  <w:num w:numId="25">
    <w:abstractNumId w:val="6"/>
  </w:num>
  <w:num w:numId="26">
    <w:abstractNumId w:val="15"/>
  </w:num>
  <w:num w:numId="27">
    <w:abstractNumId w:val="16"/>
  </w:num>
  <w:num w:numId="28">
    <w:abstractNumId w:val="10"/>
  </w:num>
  <w:num w:numId="29">
    <w:abstractNumId w:val="7"/>
  </w:num>
  <w:num w:numId="30">
    <w:abstractNumId w:val="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924"/>
    <w:rsid w:val="00005EDE"/>
    <w:rsid w:val="00014325"/>
    <w:rsid w:val="000249A0"/>
    <w:rsid w:val="00032A46"/>
    <w:rsid w:val="00101774"/>
    <w:rsid w:val="0011548F"/>
    <w:rsid w:val="00144C83"/>
    <w:rsid w:val="00145D94"/>
    <w:rsid w:val="00155F00"/>
    <w:rsid w:val="00191540"/>
    <w:rsid w:val="001F3D83"/>
    <w:rsid w:val="00213BE4"/>
    <w:rsid w:val="00215FD4"/>
    <w:rsid w:val="00222E7F"/>
    <w:rsid w:val="00237EA7"/>
    <w:rsid w:val="00243536"/>
    <w:rsid w:val="00270220"/>
    <w:rsid w:val="002C469C"/>
    <w:rsid w:val="002D1159"/>
    <w:rsid w:val="002E1535"/>
    <w:rsid w:val="002F14AB"/>
    <w:rsid w:val="002F50C8"/>
    <w:rsid w:val="00311EC1"/>
    <w:rsid w:val="00326E7B"/>
    <w:rsid w:val="00334DD8"/>
    <w:rsid w:val="00381693"/>
    <w:rsid w:val="003B1686"/>
    <w:rsid w:val="003C028A"/>
    <w:rsid w:val="003E36FA"/>
    <w:rsid w:val="003F0247"/>
    <w:rsid w:val="004169E6"/>
    <w:rsid w:val="00444A3A"/>
    <w:rsid w:val="0045522A"/>
    <w:rsid w:val="0046364F"/>
    <w:rsid w:val="00465049"/>
    <w:rsid w:val="00476392"/>
    <w:rsid w:val="0049268C"/>
    <w:rsid w:val="004A47C1"/>
    <w:rsid w:val="004B7C2A"/>
    <w:rsid w:val="004D34D8"/>
    <w:rsid w:val="004E5A50"/>
    <w:rsid w:val="004F0F42"/>
    <w:rsid w:val="0052101B"/>
    <w:rsid w:val="00533E71"/>
    <w:rsid w:val="005743FC"/>
    <w:rsid w:val="00576DF6"/>
    <w:rsid w:val="005A7681"/>
    <w:rsid w:val="005A7A83"/>
    <w:rsid w:val="005F1ACD"/>
    <w:rsid w:val="00653911"/>
    <w:rsid w:val="006746BA"/>
    <w:rsid w:val="00682380"/>
    <w:rsid w:val="00720A1D"/>
    <w:rsid w:val="00751FFB"/>
    <w:rsid w:val="00777C07"/>
    <w:rsid w:val="00794BAA"/>
    <w:rsid w:val="007F2CF0"/>
    <w:rsid w:val="007F72BA"/>
    <w:rsid w:val="00812EB3"/>
    <w:rsid w:val="0083238B"/>
    <w:rsid w:val="00866B98"/>
    <w:rsid w:val="008C4E3A"/>
    <w:rsid w:val="00912519"/>
    <w:rsid w:val="00952DF6"/>
    <w:rsid w:val="009810F4"/>
    <w:rsid w:val="00986881"/>
    <w:rsid w:val="00996310"/>
    <w:rsid w:val="009B4629"/>
    <w:rsid w:val="009B651C"/>
    <w:rsid w:val="009C6DA5"/>
    <w:rsid w:val="009E7126"/>
    <w:rsid w:val="009F19E6"/>
    <w:rsid w:val="00A10F29"/>
    <w:rsid w:val="00A41728"/>
    <w:rsid w:val="00A71BE7"/>
    <w:rsid w:val="00AB1066"/>
    <w:rsid w:val="00AB5CCA"/>
    <w:rsid w:val="00B23E91"/>
    <w:rsid w:val="00B423C2"/>
    <w:rsid w:val="00B8366A"/>
    <w:rsid w:val="00B8469C"/>
    <w:rsid w:val="00B972F3"/>
    <w:rsid w:val="00BA08B2"/>
    <w:rsid w:val="00BA558E"/>
    <w:rsid w:val="00C42210"/>
    <w:rsid w:val="00C60417"/>
    <w:rsid w:val="00C70C7F"/>
    <w:rsid w:val="00C71288"/>
    <w:rsid w:val="00C77E2A"/>
    <w:rsid w:val="00C8201B"/>
    <w:rsid w:val="00C915FF"/>
    <w:rsid w:val="00CB0681"/>
    <w:rsid w:val="00CB256D"/>
    <w:rsid w:val="00CC29DF"/>
    <w:rsid w:val="00CF7B48"/>
    <w:rsid w:val="00D02ACB"/>
    <w:rsid w:val="00D2647D"/>
    <w:rsid w:val="00D27250"/>
    <w:rsid w:val="00D31AEB"/>
    <w:rsid w:val="00D5744B"/>
    <w:rsid w:val="00D7008B"/>
    <w:rsid w:val="00D733A2"/>
    <w:rsid w:val="00D9426A"/>
    <w:rsid w:val="00DC597B"/>
    <w:rsid w:val="00DE5E74"/>
    <w:rsid w:val="00DE7187"/>
    <w:rsid w:val="00DF1836"/>
    <w:rsid w:val="00DF340B"/>
    <w:rsid w:val="00E27C6E"/>
    <w:rsid w:val="00E349E7"/>
    <w:rsid w:val="00E35B32"/>
    <w:rsid w:val="00E455E8"/>
    <w:rsid w:val="00E652BF"/>
    <w:rsid w:val="00E804FA"/>
    <w:rsid w:val="00E972F9"/>
    <w:rsid w:val="00ED0802"/>
    <w:rsid w:val="00ED6C57"/>
    <w:rsid w:val="00F1634E"/>
    <w:rsid w:val="00F209ED"/>
    <w:rsid w:val="00F74F07"/>
    <w:rsid w:val="00FA41B7"/>
    <w:rsid w:val="00FB0EBF"/>
    <w:rsid w:val="00FC6118"/>
    <w:rsid w:val="00FD7924"/>
    <w:rsid w:val="51179430"/>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8C709"/>
  <w15:chartTrackingRefBased/>
  <w15:docId w15:val="{698943CF-7CE0-4A3A-B2DE-4E4B1A76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nhideWhenUsed/>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semiHidden/>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xmsonormal">
    <w:name w:val="x_msonormal"/>
    <w:basedOn w:val="Normal"/>
    <w:rsid w:val="00DF1836"/>
    <w:pPr>
      <w:spacing w:before="100" w:beforeAutospacing="1" w:after="100" w:afterAutospacing="1" w:line="240" w:lineRule="auto"/>
    </w:pPr>
    <w:rPr>
      <w:rFonts w:ascii="Times New Roman" w:eastAsia="Times New Roman" w:hAnsi="Times New Roman" w:cs="Times New Roman"/>
      <w:sz w:val="24"/>
      <w:szCs w:val="24"/>
      <w:lang w:val="en-US" w:eastAsia="en-US"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a15e0e0f-4f4a-4916-abd0-83d6a9ed7276">S2JVWQHSHYPP-1783912714-3</_dlc_DocId>
    <_dlc_DocIdUrl xmlns="a15e0e0f-4f4a-4916-abd0-83d6a9ed7276">
      <Url>https://unwomen.sharepoint.com/management/Procurement/in-tend/_layouts/15/DocIdRedir.aspx?ID=S2JVWQHSHYPP-1783912714-3</Url>
      <Description>S2JVWQHSHYPP-1783912714-3</Description>
    </_dlc_DocIdUrl>
    <Document_x0020_Type xmlns="8b792f64-5510-4bb5-a9fe-e3f1c13631fc">Request Form</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09abb9095e6b6d3319119ccbbd06db9f">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d527cc0f85db668cdc9942f47c6890d5"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351273-D70E-473D-BC65-3B239922880E}">
  <ds:schemaRefs>
    <ds:schemaRef ds:uri="http://schemas.openxmlformats.org/officeDocument/2006/bibliography"/>
  </ds:schemaRefs>
</ds:datastoreItem>
</file>

<file path=customXml/itemProps2.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a15e0e0f-4f4a-4916-abd0-83d6a9ed7276"/>
    <ds:schemaRef ds:uri="8b792f64-5510-4bb5-a9fe-e3f1c13631fc"/>
  </ds:schemaRefs>
</ds:datastoreItem>
</file>

<file path=customXml/itemProps3.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4.xml><?xml version="1.0" encoding="utf-8"?>
<ds:datastoreItem xmlns:ds="http://schemas.openxmlformats.org/officeDocument/2006/customXml" ds:itemID="{E248551C-2C67-4466-B1E7-D2A0CCB9706E}">
  <ds:schemaRefs>
    <ds:schemaRef ds:uri="http://schemas.microsoft.com/sharepoint/events"/>
  </ds:schemaRefs>
</ds:datastoreItem>
</file>

<file path=customXml/itemProps5.xml><?xml version="1.0" encoding="utf-8"?>
<ds:datastoreItem xmlns:ds="http://schemas.openxmlformats.org/officeDocument/2006/customXml" ds:itemID="{500DC402-61BC-4DB9-B099-8DB4F00CD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Mimo He</dc:creator>
  <cp:keywords/>
  <dc:description/>
  <cp:lastModifiedBy>Lin.Phyo Aung</cp:lastModifiedBy>
  <cp:revision>2</cp:revision>
  <dcterms:created xsi:type="dcterms:W3CDTF">2021-02-05T02:45:00Z</dcterms:created>
  <dcterms:modified xsi:type="dcterms:W3CDTF">2021-02-05T02:45:00Z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9e4f0a98-a422-44cf-9d24-dba3532fc3ea</vt:lpwstr>
  </property>
</Properties>
</file>