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D6F" w:rsidRDefault="002732C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240"/>
        <w:rPr>
          <w:b/>
          <w:color w:val="518ECB"/>
          <w:sz w:val="28"/>
          <w:szCs w:val="28"/>
        </w:rPr>
      </w:pPr>
      <w:r>
        <w:rPr>
          <w:b/>
          <w:color w:val="518ECB"/>
          <w:sz w:val="28"/>
          <w:szCs w:val="28"/>
        </w:rPr>
        <w:t xml:space="preserve">Section II: Schedule of Requirements </w:t>
      </w:r>
    </w:p>
    <w:p w:rsidR="006F1D6F" w:rsidRDefault="002732C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240"/>
        <w:rPr>
          <w:b/>
          <w:color w:val="000000"/>
        </w:rPr>
      </w:pPr>
      <w:r>
        <w:rPr>
          <w:b/>
          <w:color w:val="000000"/>
        </w:rPr>
        <w:t>eSourcing reference:</w:t>
      </w:r>
      <w:r>
        <w:rPr>
          <w:color w:val="000000"/>
        </w:rPr>
        <w:t xml:space="preserve"> </w:t>
      </w:r>
      <w:r>
        <w:rPr>
          <w:b/>
          <w:color w:val="000000"/>
        </w:rPr>
        <w:t>RFQ/2021/18687</w:t>
      </w:r>
    </w:p>
    <w:p w:rsidR="006F1D6F" w:rsidRDefault="006F1D6F">
      <w:pPr>
        <w:rPr>
          <w:b/>
          <w:color w:val="000000"/>
          <w:highlight w:val="green"/>
        </w:rPr>
      </w:pPr>
    </w:p>
    <w:p w:rsidR="006F1D6F" w:rsidRDefault="002732CE">
      <w:pPr>
        <w:rPr>
          <w:b/>
          <w:color w:val="000000"/>
        </w:rPr>
      </w:pPr>
      <w:r>
        <w:rPr>
          <w:b/>
          <w:color w:val="000000"/>
        </w:rPr>
        <w:t>Technical specifications for Goods and Comparative Data Table:</w:t>
      </w:r>
    </w:p>
    <w:p w:rsidR="006F1D6F" w:rsidRDefault="006F1D6F">
      <w:pPr>
        <w:rPr>
          <w:b/>
          <w:color w:val="000000"/>
        </w:rPr>
      </w:pPr>
    </w:p>
    <w:tbl>
      <w:tblPr>
        <w:tblStyle w:val="a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1090"/>
        <w:gridCol w:w="1800"/>
        <w:gridCol w:w="3240"/>
      </w:tblGrid>
      <w:tr w:rsidR="002715C3" w:rsidTr="002715C3">
        <w:trPr>
          <w:trHeight w:val="499"/>
        </w:trPr>
        <w:tc>
          <w:tcPr>
            <w:tcW w:w="817" w:type="dxa"/>
            <w:shd w:val="clear" w:color="auto" w:fill="D9D9D9"/>
            <w:vAlign w:val="center"/>
          </w:tcPr>
          <w:p w:rsidR="002715C3" w:rsidRDefault="002715C3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3151" w:type="dxa"/>
            <w:shd w:val="clear" w:color="auto" w:fill="D9D9D9"/>
            <w:vAlign w:val="center"/>
          </w:tcPr>
          <w:p w:rsidR="002715C3" w:rsidRDefault="002715C3">
            <w:pPr>
              <w:jc w:val="center"/>
              <w:rPr>
                <w:b/>
              </w:rPr>
            </w:pPr>
            <w:r>
              <w:rPr>
                <w:b/>
              </w:rPr>
              <w:t>UNOPS minimum technical requirements</w:t>
            </w:r>
          </w:p>
        </w:tc>
        <w:tc>
          <w:tcPr>
            <w:tcW w:w="1090" w:type="dxa"/>
            <w:shd w:val="clear" w:color="auto" w:fill="D9D9D9"/>
            <w:vAlign w:val="center"/>
          </w:tcPr>
          <w:p w:rsidR="002715C3" w:rsidRDefault="002715C3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2715C3" w:rsidRDefault="002715C3">
            <w:pPr>
              <w:jc w:val="center"/>
              <w:rPr>
                <w:b/>
              </w:rPr>
            </w:pPr>
            <w:r>
              <w:rPr>
                <w:b/>
              </w:rPr>
              <w:t xml:space="preserve">Is quotation compliant? </w:t>
            </w:r>
            <w:r>
              <w:t>Bidder to complete</w:t>
            </w:r>
          </w:p>
        </w:tc>
        <w:tc>
          <w:tcPr>
            <w:tcW w:w="3240" w:type="dxa"/>
            <w:shd w:val="clear" w:color="auto" w:fill="D9D9D9"/>
            <w:vAlign w:val="center"/>
          </w:tcPr>
          <w:p w:rsidR="002715C3" w:rsidRDefault="002715C3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Details of goods offered. </w:t>
            </w:r>
            <w:r>
              <w:t>Bidder to complete</w:t>
            </w:r>
          </w:p>
        </w:tc>
      </w:tr>
      <w:tr w:rsidR="002715C3" w:rsidTr="002715C3">
        <w:tc>
          <w:tcPr>
            <w:tcW w:w="10098" w:type="dxa"/>
            <w:gridSpan w:val="5"/>
            <w:vAlign w:val="center"/>
          </w:tcPr>
          <w:p w:rsidR="002715C3" w:rsidRDefault="002715C3">
            <w:pPr>
              <w:rPr>
                <w:b/>
                <w:highlight w:val="lightGray"/>
              </w:rPr>
            </w:pPr>
          </w:p>
          <w:p w:rsidR="002715C3" w:rsidRDefault="002715C3">
            <w:pPr>
              <w:rPr>
                <w:b/>
              </w:rPr>
            </w:pPr>
            <w:r>
              <w:rPr>
                <w:b/>
              </w:rPr>
              <w:t>LOT 1: HAZARD LABELING AND SEALING TOOLS</w:t>
            </w:r>
          </w:p>
          <w:p w:rsidR="002715C3" w:rsidRDefault="002715C3">
            <w:pPr>
              <w:rPr>
                <w:b/>
              </w:rPr>
            </w:pP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1" w:type="dxa"/>
          </w:tcPr>
          <w:p w:rsidR="002715C3" w:rsidRDefault="002715C3">
            <w:pPr>
              <w:rPr>
                <w:highlight w:val="lightGray"/>
              </w:rPr>
            </w:pPr>
            <w:r>
              <w:t xml:space="preserve">Sealing Pliers Set Security Lead Seal for Lead Diameter 10mm 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</w:pPr>
            <w:sdt>
              <w:sdtPr>
                <w:tag w:val="goog_rdk_0"/>
                <w:id w:val="127436694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1"/>
                <w:id w:val="-64612960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51" w:type="dxa"/>
          </w:tcPr>
          <w:p w:rsidR="002715C3" w:rsidRDefault="002715C3">
            <w:pPr>
              <w:rPr>
                <w:highlight w:val="lightGray"/>
              </w:rPr>
            </w:pPr>
            <w:r>
              <w:t xml:space="preserve">4000 x 10mm security lead seals and seal wires  for use by sealing pliers 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</w:pPr>
            <w:r>
              <w:rPr>
                <w:b/>
              </w:rPr>
              <w:t>4,000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</w:pPr>
            <w:sdt>
              <w:sdtPr>
                <w:tag w:val="goog_rdk_2"/>
                <w:id w:val="125363105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3"/>
                <w:id w:val="243454772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51" w:type="dxa"/>
          </w:tcPr>
          <w:p w:rsidR="002715C3" w:rsidRDefault="002715C3">
            <w:pPr>
              <w:rPr>
                <w:highlight w:val="lightGray"/>
              </w:rPr>
            </w:pPr>
            <w:r>
              <w:t>White Paint Pens (for rock painting, waterproof/permanent)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40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4"/>
                <w:id w:val="-429892501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5"/>
                <w:id w:val="-830590364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51" w:type="dxa"/>
            <w:vAlign w:val="center"/>
          </w:tcPr>
          <w:p w:rsidR="002715C3" w:rsidRDefault="002715C3">
            <w:pPr>
              <w:rPr>
                <w:b/>
                <w:highlight w:val="lightGray"/>
              </w:rPr>
            </w:pPr>
            <w:r>
              <w:t>Rolls (in a roll of 1,000) x Class 1 Explosive 1 Hazard Warning Diamond Label – Code J001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3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6"/>
                <w:id w:val="-1992784408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7"/>
                <w:id w:val="205819978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r>
              <w:t>5</w:t>
            </w:r>
          </w:p>
        </w:tc>
        <w:tc>
          <w:tcPr>
            <w:tcW w:w="3151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t xml:space="preserve">Rolls (in a roll of 1,000) x Class 1 Explosive 1.1 Hazard Warning Diamond Label – Code J001/1.1 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2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8"/>
                <w:id w:val="-710721257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9"/>
                <w:id w:val="1452974531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r>
              <w:t>6</w:t>
            </w:r>
          </w:p>
        </w:tc>
        <w:tc>
          <w:tcPr>
            <w:tcW w:w="3151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t>Rolls (in a roll of 1,000) x Class 1 Explosive 1.4S Hazard Warning Diamond Label – Code J011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2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10"/>
                <w:id w:val="9814403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11"/>
                <w:id w:val="-97344665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r>
              <w:t>7</w:t>
            </w:r>
          </w:p>
        </w:tc>
        <w:tc>
          <w:tcPr>
            <w:tcW w:w="3151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t>Rolls (in a roll of 1,000) x Class 1 Explosive 1.4G Hazard Warning Diamond Label – Code J010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2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12"/>
                <w:id w:val="1445033356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13"/>
                <w:id w:val="-88779627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10098" w:type="dxa"/>
            <w:gridSpan w:val="5"/>
            <w:vAlign w:val="center"/>
          </w:tcPr>
          <w:p w:rsidR="002715C3" w:rsidRDefault="002715C3">
            <w:pPr>
              <w:rPr>
                <w:highlight w:val="lightGray"/>
              </w:rPr>
            </w:pPr>
          </w:p>
          <w:p w:rsidR="002715C3" w:rsidRDefault="002715C3">
            <w:pPr>
              <w:rPr>
                <w:b/>
              </w:rPr>
            </w:pPr>
            <w:r>
              <w:rPr>
                <w:b/>
              </w:rPr>
              <w:t>LOT 2: HAZARDOUS LIQUID HANDLING SAFETY KITS</w:t>
            </w:r>
          </w:p>
          <w:p w:rsidR="002715C3" w:rsidRDefault="002715C3">
            <w:pPr>
              <w:rPr>
                <w:i/>
              </w:rPr>
            </w:pP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51" w:type="dxa"/>
          </w:tcPr>
          <w:p w:rsidR="002715C3" w:rsidRDefault="002715C3">
            <w:pPr>
              <w:tabs>
                <w:tab w:val="left" w:pos="1060"/>
              </w:tabs>
              <w:rPr>
                <w:b/>
              </w:rPr>
            </w:pPr>
            <w:r>
              <w:rPr>
                <w:b/>
              </w:rPr>
              <w:t xml:space="preserve">3 H1/Y rated 4 x 5 litre jerry can kits for shipping hazardous liquids </w:t>
            </w:r>
          </w:p>
          <w:p w:rsidR="002715C3" w:rsidRDefault="002715C3">
            <w:pPr>
              <w:tabs>
                <w:tab w:val="left" w:pos="1060"/>
              </w:tabs>
            </w:pPr>
          </w:p>
          <w:p w:rsidR="002715C3" w:rsidRDefault="002715C3">
            <w:pPr>
              <w:tabs>
                <w:tab w:val="left" w:pos="1060"/>
              </w:tabs>
            </w:pPr>
            <w:r>
              <w:t>Specifications:-</w:t>
            </w:r>
          </w:p>
          <w:p w:rsidR="002715C3" w:rsidRDefault="002715C3">
            <w:pPr>
              <w:tabs>
                <w:tab w:val="left" w:pos="1060"/>
              </w:tabs>
            </w:pPr>
          </w:p>
          <w:p w:rsidR="002715C3" w:rsidRDefault="002715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Per unit includes 4 x 5 litre U.N. and IATA rated jerry cans for group II/III (Y/Z) liquids</w:t>
            </w:r>
          </w:p>
          <w:p w:rsidR="002715C3" w:rsidRDefault="002715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Box is to be double walled with partition to safely store 4x 5 litre HDPE jerry cans</w:t>
            </w:r>
          </w:p>
          <w:p w:rsidR="002715C3" w:rsidRDefault="002715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0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Box is to have orientation marking on min 2 sides </w:t>
            </w:r>
          </w:p>
          <w:p w:rsidR="002715C3" w:rsidRDefault="002715C3">
            <w:pPr>
              <w:tabs>
                <w:tab w:val="left" w:pos="1060"/>
              </w:tabs>
              <w:rPr>
                <w:b/>
              </w:rPr>
            </w:pPr>
            <w:r>
              <w:rPr>
                <w:b/>
              </w:rPr>
              <w:lastRenderedPageBreak/>
              <w:t>5 litre jerry can specifications</w:t>
            </w:r>
          </w:p>
          <w:p w:rsidR="002715C3" w:rsidRDefault="002715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5 Litre  HDPE </w:t>
            </w:r>
            <w:r>
              <w:t>j</w:t>
            </w:r>
            <w:r>
              <w:rPr>
                <w:color w:val="000000"/>
              </w:rPr>
              <w:t>erry can with Tamper Evident Cap for hazardous liquids</w:t>
            </w:r>
          </w:p>
          <w:p w:rsidR="002715C3" w:rsidRDefault="002715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0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100% high density polyethylene (HDPE)</w:t>
            </w:r>
          </w:p>
          <w:p w:rsidR="002715C3" w:rsidRDefault="002715C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0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UN International and IATA rating tested and safe to transport hazardous materials and dangerous goods by land, air and sea.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lastRenderedPageBreak/>
              <w:t>40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14"/>
                <w:id w:val="-64921532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15"/>
                <w:id w:val="-1513595665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51" w:type="dxa"/>
          </w:tcPr>
          <w:p w:rsidR="002715C3" w:rsidRDefault="002715C3">
            <w:pPr>
              <w:rPr>
                <w:b/>
              </w:rPr>
            </w:pPr>
            <w:r>
              <w:rPr>
                <w:b/>
              </w:rPr>
              <w:t xml:space="preserve">Rotary Drum Pump – Manual </w:t>
            </w:r>
          </w:p>
          <w:p w:rsidR="002715C3" w:rsidRDefault="002715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FM approved for Class I and II flammable and combustible liquids</w:t>
            </w:r>
          </w:p>
          <w:p w:rsidR="002715C3" w:rsidRDefault="002715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To fit 15-55 gallon container</w:t>
            </w:r>
          </w:p>
          <w:p w:rsidR="002715C3" w:rsidRDefault="002715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Flow rate min 10 gal/min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1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16"/>
                <w:id w:val="-1944676142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17"/>
                <w:id w:val="18025190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51" w:type="dxa"/>
          </w:tcPr>
          <w:p w:rsidR="002715C3" w:rsidRDefault="002715C3">
            <w:pPr>
              <w:rPr>
                <w:b/>
              </w:rPr>
            </w:pPr>
            <w:r>
              <w:rPr>
                <w:b/>
              </w:rPr>
              <w:t xml:space="preserve">Full Face Organic Vapour Respirator (reusable) </w:t>
            </w:r>
          </w:p>
          <w:p w:rsidR="002715C3" w:rsidRDefault="002715C3">
            <w:r>
              <w:t>Silicone face piece and seal</w:t>
            </w:r>
          </w:p>
          <w:p w:rsidR="002715C3" w:rsidRDefault="002715C3">
            <w:r>
              <w:t>Polycarbonate lense</w:t>
            </w:r>
          </w:p>
          <w:p w:rsidR="002715C3" w:rsidRDefault="002715C3">
            <w:r>
              <w:t>Threaded cartridge connector</w:t>
            </w:r>
          </w:p>
          <w:p w:rsidR="002715C3" w:rsidRDefault="002715C3">
            <w:pPr>
              <w:rPr>
                <w:highlight w:val="lightGray"/>
              </w:rPr>
            </w:pPr>
            <w:r>
              <w:t>Size - 3 x Medium and 3 x Large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6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18"/>
                <w:id w:val="-911002341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19"/>
                <w:id w:val="-1439908048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51" w:type="dxa"/>
            <w:vAlign w:val="center"/>
          </w:tcPr>
          <w:p w:rsidR="002715C3" w:rsidRDefault="002715C3">
            <w:pPr>
              <w:rPr>
                <w:b/>
              </w:rPr>
            </w:pPr>
            <w:r>
              <w:rPr>
                <w:b/>
              </w:rPr>
              <w:t xml:space="preserve">Organic Vapour Filters </w:t>
            </w:r>
          </w:p>
          <w:p w:rsidR="002715C3" w:rsidRDefault="002715C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To fit Full face organic vapour</w:t>
            </w:r>
          </w:p>
          <w:p w:rsidR="002715C3" w:rsidRDefault="002715C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Reusable respirator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18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20"/>
                <w:id w:val="-17126472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21"/>
                <w:id w:val="129440124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2715C3" w:rsidRDefault="002715C3">
            <w:pPr>
              <w:rPr>
                <w:b/>
              </w:rPr>
            </w:pPr>
            <w:r>
              <w:rPr>
                <w:b/>
              </w:rPr>
              <w:t xml:space="preserve">Chemical Resistant Bib Apron </w:t>
            </w:r>
          </w:p>
          <w:p w:rsidR="002715C3" w:rsidRDefault="002715C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Tie at waist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6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22"/>
                <w:id w:val="563063497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23"/>
                <w:id w:val="88699051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  <w:tr w:rsidR="002715C3" w:rsidTr="002715C3">
        <w:tc>
          <w:tcPr>
            <w:tcW w:w="817" w:type="dxa"/>
            <w:vAlign w:val="center"/>
          </w:tcPr>
          <w:p w:rsidR="002715C3" w:rsidRDefault="002715C3">
            <w:pPr>
              <w:rPr>
                <w:highlight w:val="lightGray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51" w:type="dxa"/>
            <w:vAlign w:val="center"/>
          </w:tcPr>
          <w:p w:rsidR="002715C3" w:rsidRDefault="002715C3">
            <w:pPr>
              <w:rPr>
                <w:b/>
              </w:rPr>
            </w:pPr>
            <w:r>
              <w:rPr>
                <w:b/>
              </w:rPr>
              <w:t xml:space="preserve">Chemical Resistant latex gloves </w:t>
            </w:r>
          </w:p>
          <w:p w:rsidR="002715C3" w:rsidRDefault="002715C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Tear resistant</w:t>
            </w:r>
          </w:p>
          <w:p w:rsidR="002715C3" w:rsidRDefault="002715C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color w:val="000000"/>
              </w:rPr>
              <w:t>Anti-corrosive for use with chemicals</w:t>
            </w:r>
          </w:p>
          <w:p w:rsidR="002715C3" w:rsidRDefault="002715C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Flexible to wear</w:t>
            </w:r>
          </w:p>
          <w:p w:rsidR="002715C3" w:rsidRDefault="002715C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Sizes - 6 x medium / 6 x large / 6 x extra large</w:t>
            </w:r>
          </w:p>
        </w:tc>
        <w:tc>
          <w:tcPr>
            <w:tcW w:w="109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r>
              <w:rPr>
                <w:b/>
              </w:rPr>
              <w:t>20</w:t>
            </w:r>
          </w:p>
        </w:tc>
        <w:tc>
          <w:tcPr>
            <w:tcW w:w="1800" w:type="dxa"/>
            <w:vAlign w:val="center"/>
          </w:tcPr>
          <w:p w:rsidR="002715C3" w:rsidRDefault="002715C3">
            <w:pPr>
              <w:jc w:val="center"/>
              <w:rPr>
                <w:i/>
              </w:rPr>
            </w:pPr>
            <w:sdt>
              <w:sdtPr>
                <w:tag w:val="goog_rdk_24"/>
                <w:id w:val="-15013773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Yes   </w:t>
            </w:r>
            <w:sdt>
              <w:sdtPr>
                <w:tag w:val="goog_rdk_25"/>
                <w:id w:val="-286431256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highlight w:val="cyan"/>
                  </w:rPr>
                  <w:t>☐</w:t>
                </w:r>
              </w:sdtContent>
            </w:sdt>
            <w:r>
              <w:rPr>
                <w:color w:val="000000"/>
                <w:highlight w:val="cyan"/>
              </w:rPr>
              <w:t xml:space="preserve"> No</w:t>
            </w:r>
          </w:p>
        </w:tc>
        <w:tc>
          <w:tcPr>
            <w:tcW w:w="3240" w:type="dxa"/>
            <w:vAlign w:val="center"/>
          </w:tcPr>
          <w:p w:rsidR="002715C3" w:rsidRDefault="002715C3">
            <w:pPr>
              <w:rPr>
                <w:i/>
              </w:rPr>
            </w:pPr>
            <w:r>
              <w:rPr>
                <w:highlight w:val="cyan"/>
              </w:rPr>
              <w:t>Insert details of goods offered, including specifications and brand/model offered if applicable</w:t>
            </w:r>
          </w:p>
        </w:tc>
      </w:tr>
    </w:tbl>
    <w:p w:rsidR="006F1D6F" w:rsidRDefault="006F1D6F">
      <w:pPr>
        <w:rPr>
          <w:b/>
          <w:color w:val="000000"/>
        </w:rPr>
      </w:pPr>
    </w:p>
    <w:p w:rsidR="006F1D6F" w:rsidRDefault="006F1D6F">
      <w:pPr>
        <w:rPr>
          <w:b/>
          <w:color w:val="000000"/>
        </w:rPr>
      </w:pPr>
    </w:p>
    <w:p w:rsidR="006F1D6F" w:rsidRDefault="002732CE">
      <w:pPr>
        <w:rPr>
          <w:b/>
        </w:rPr>
      </w:pPr>
      <w:r>
        <w:rPr>
          <w:b/>
        </w:rPr>
        <w:t xml:space="preserve">Delivery requirements and </w:t>
      </w:r>
      <w:r>
        <w:rPr>
          <w:b/>
          <w:color w:val="000000"/>
        </w:rPr>
        <w:t>Comparative Data Table</w:t>
      </w:r>
      <w:r>
        <w:rPr>
          <w:b/>
        </w:rPr>
        <w:t>:</w:t>
      </w:r>
    </w:p>
    <w:p w:rsidR="006F1D6F" w:rsidRDefault="006F1D6F"/>
    <w:tbl>
      <w:tblPr>
        <w:tblStyle w:val="a1"/>
        <w:tblW w:w="101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3120"/>
        <w:gridCol w:w="2130"/>
        <w:gridCol w:w="3225"/>
      </w:tblGrid>
      <w:tr w:rsidR="006F1D6F">
        <w:trPr>
          <w:trHeight w:val="306"/>
        </w:trPr>
        <w:tc>
          <w:tcPr>
            <w:tcW w:w="4815" w:type="dxa"/>
            <w:gridSpan w:val="2"/>
            <w:shd w:val="clear" w:color="auto" w:fill="D9D9D9"/>
            <w:vAlign w:val="center"/>
          </w:tcPr>
          <w:p w:rsidR="006F1D6F" w:rsidRDefault="002732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UNOPS Requirements</w:t>
            </w:r>
          </w:p>
        </w:tc>
        <w:tc>
          <w:tcPr>
            <w:tcW w:w="2130" w:type="dxa"/>
            <w:shd w:val="clear" w:color="auto" w:fill="D9D9D9"/>
            <w:vAlign w:val="center"/>
          </w:tcPr>
          <w:p w:rsidR="006F1D6F" w:rsidRDefault="002732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Is quotation compliant? </w:t>
            </w:r>
            <w:r>
              <w:rPr>
                <w:rFonts w:ascii="Arial" w:eastAsia="Arial" w:hAnsi="Arial" w:cs="Arial"/>
              </w:rPr>
              <w:t>Bidder to complete</w:t>
            </w:r>
          </w:p>
        </w:tc>
        <w:tc>
          <w:tcPr>
            <w:tcW w:w="3225" w:type="dxa"/>
            <w:shd w:val="clear" w:color="auto" w:fill="D9D9D9"/>
            <w:vAlign w:val="center"/>
          </w:tcPr>
          <w:p w:rsidR="006F1D6F" w:rsidRDefault="002732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Details </w:t>
            </w:r>
          </w:p>
          <w:p w:rsidR="006F1D6F" w:rsidRDefault="002732C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Bidder to complete</w:t>
            </w:r>
          </w:p>
        </w:tc>
      </w:tr>
      <w:tr w:rsidR="006F1D6F">
        <w:trPr>
          <w:trHeight w:val="306"/>
        </w:trPr>
        <w:tc>
          <w:tcPr>
            <w:tcW w:w="1695" w:type="dxa"/>
            <w:shd w:val="clear" w:color="auto" w:fill="D9D9D9"/>
            <w:vAlign w:val="center"/>
          </w:tcPr>
          <w:p w:rsidR="006F1D6F" w:rsidRDefault="002732C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time</w:t>
            </w:r>
          </w:p>
        </w:tc>
        <w:tc>
          <w:tcPr>
            <w:tcW w:w="3120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Bidder shall deliver the goods </w:t>
            </w:r>
            <w:r>
              <w:rPr>
                <w:rFonts w:ascii="Arial" w:eastAsia="Arial" w:hAnsi="Arial" w:cs="Arial"/>
                <w:b/>
              </w:rPr>
              <w:t>within 4 weeks</w:t>
            </w:r>
            <w:r>
              <w:rPr>
                <w:rFonts w:ascii="Arial" w:eastAsia="Arial" w:hAnsi="Arial" w:cs="Arial"/>
              </w:rPr>
              <w:t xml:space="preserve"> after Contract signature.</w:t>
            </w:r>
          </w:p>
        </w:tc>
        <w:tc>
          <w:tcPr>
            <w:tcW w:w="2130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3225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 xml:space="preserve">Insert details </w:t>
            </w:r>
          </w:p>
        </w:tc>
      </w:tr>
      <w:tr w:rsidR="006F1D6F">
        <w:trPr>
          <w:trHeight w:val="306"/>
        </w:trPr>
        <w:tc>
          <w:tcPr>
            <w:tcW w:w="1695" w:type="dxa"/>
            <w:shd w:val="clear" w:color="auto" w:fill="D9D9D9"/>
            <w:vAlign w:val="center"/>
          </w:tcPr>
          <w:p w:rsidR="006F1D6F" w:rsidRDefault="002732C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place and Incoterms rules</w:t>
            </w:r>
          </w:p>
        </w:tc>
        <w:tc>
          <w:tcPr>
            <w:tcW w:w="3120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>CPT Entebbe (Incoterms 2010)</w:t>
            </w:r>
          </w:p>
        </w:tc>
        <w:tc>
          <w:tcPr>
            <w:tcW w:w="2130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3225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cyan"/>
              </w:rPr>
              <w:t xml:space="preserve">Insert details </w:t>
            </w:r>
          </w:p>
        </w:tc>
      </w:tr>
      <w:tr w:rsidR="006F1D6F">
        <w:trPr>
          <w:trHeight w:val="306"/>
        </w:trPr>
        <w:tc>
          <w:tcPr>
            <w:tcW w:w="1695" w:type="dxa"/>
            <w:shd w:val="clear" w:color="auto" w:fill="D9D9D9"/>
            <w:vAlign w:val="center"/>
          </w:tcPr>
          <w:p w:rsidR="006F1D6F" w:rsidRDefault="002732C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Consignee details</w:t>
            </w:r>
          </w:p>
        </w:tc>
        <w:tc>
          <w:tcPr>
            <w:tcW w:w="3120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ESO Logistics. E-mail: ESOSupplychain@unops.org</w:t>
            </w:r>
          </w:p>
        </w:tc>
        <w:tc>
          <w:tcPr>
            <w:tcW w:w="2130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3225" w:type="dxa"/>
            <w:vAlign w:val="center"/>
          </w:tcPr>
          <w:p w:rsidR="006F1D6F" w:rsidRDefault="002732CE">
            <w:pPr>
              <w:rPr>
                <w:rFonts w:ascii="Arial" w:eastAsia="Arial" w:hAnsi="Arial" w:cs="Arial"/>
                <w:highlight w:val="yellow"/>
              </w:rPr>
            </w:pPr>
            <w:r>
              <w:rPr>
                <w:rFonts w:ascii="Arial" w:eastAsia="Arial" w:hAnsi="Arial" w:cs="Arial"/>
                <w:highlight w:val="cyan"/>
              </w:rPr>
              <w:t xml:space="preserve">Insert details </w:t>
            </w:r>
          </w:p>
        </w:tc>
      </w:tr>
      <w:tr w:rsidR="006F1D6F">
        <w:trPr>
          <w:trHeight w:val="306"/>
        </w:trPr>
        <w:tc>
          <w:tcPr>
            <w:tcW w:w="1695" w:type="dxa"/>
            <w:shd w:val="clear" w:color="auto" w:fill="D9D9D9"/>
            <w:vAlign w:val="center"/>
          </w:tcPr>
          <w:p w:rsidR="006F1D6F" w:rsidRDefault="002732C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UNOPS Right to vary requirements</w:t>
            </w:r>
          </w:p>
        </w:tc>
        <w:tc>
          <w:tcPr>
            <w:tcW w:w="3120" w:type="dxa"/>
            <w:vAlign w:val="center"/>
          </w:tcPr>
          <w:p w:rsidR="006F1D6F" w:rsidRDefault="0027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color w:val="000000"/>
              </w:rPr>
              <w:t>At the time the Contract is awarded, UNOPS reserves the right to vary the quantity of the goods and associated services specified above, provided this does not exceed +/- 20%, without any change in the unit prices or other terms and conditions of the RFQ.</w:t>
            </w:r>
          </w:p>
        </w:tc>
        <w:tc>
          <w:tcPr>
            <w:tcW w:w="2130" w:type="dxa"/>
            <w:vAlign w:val="center"/>
          </w:tcPr>
          <w:p w:rsidR="006F1D6F" w:rsidRDefault="0027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Yes   </w:t>
            </w:r>
            <w:r>
              <w:rPr>
                <w:rFonts w:ascii="MS Gothic" w:eastAsia="MS Gothic" w:hAnsi="MS Gothic" w:cs="MS Gothic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No</w:t>
            </w:r>
          </w:p>
        </w:tc>
        <w:tc>
          <w:tcPr>
            <w:tcW w:w="3225" w:type="dxa"/>
            <w:vAlign w:val="center"/>
          </w:tcPr>
          <w:p w:rsidR="006F1D6F" w:rsidRDefault="0027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Insert details </w:t>
            </w:r>
          </w:p>
        </w:tc>
      </w:tr>
    </w:tbl>
    <w:p w:rsidR="006F1D6F" w:rsidRDefault="002732CE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  <w:t xml:space="preserve"> 00</w:t>
      </w:r>
    </w:p>
    <w:p w:rsidR="006F1D6F" w:rsidRDefault="006F1D6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</w:pPr>
    </w:p>
    <w:p w:rsidR="006F1D6F" w:rsidRDefault="002732CE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b/>
          <w:color w:val="FFFFFF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  <w:t>: +45 45 33 75 0</w:t>
      </w:r>
    </w:p>
    <w:sectPr w:rsidR="006F1D6F">
      <w:headerReference w:type="default" r:id="rId8"/>
      <w:footerReference w:type="default" r:id="rId9"/>
      <w:headerReference w:type="first" r:id="rId10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2CE" w:rsidRDefault="002732CE">
      <w:r>
        <w:separator/>
      </w:r>
    </w:p>
  </w:endnote>
  <w:endnote w:type="continuationSeparator" w:id="0">
    <w:p w:rsidR="002732CE" w:rsidRDefault="0027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panose1 w:val="00000000000000000000"/>
    <w:charset w:val="00"/>
    <w:family w:val="roman"/>
    <w:notTrueType/>
    <w:pitch w:val="default"/>
  </w:font>
  <w:font w:name="KUKGYU+ArialM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D6F" w:rsidRDefault="006F1D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5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6F1D6F">
      <w:tc>
        <w:tcPr>
          <w:tcW w:w="4596" w:type="dxa"/>
        </w:tcPr>
        <w:p w:rsidR="006F1D6F" w:rsidRDefault="002732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4475" cy="144000"/>
                <wp:effectExtent l="0" t="0" r="0" b="0"/>
                <wp:docPr id="2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:rsidR="006F1D6F" w:rsidRDefault="002732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instrText>PAGE</w:instrText>
          </w:r>
          <w:r w:rsidR="002715C3">
            <w:rPr>
              <w:color w:val="000000"/>
              <w:sz w:val="18"/>
              <w:szCs w:val="18"/>
            </w:rPr>
            <w:fldChar w:fldCharType="separate"/>
          </w:r>
          <w:r w:rsidR="002715C3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6F1D6F" w:rsidRDefault="006F1D6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2CE" w:rsidRDefault="002732CE">
      <w:r>
        <w:separator/>
      </w:r>
    </w:p>
  </w:footnote>
  <w:footnote w:type="continuationSeparator" w:id="0">
    <w:p w:rsidR="002732CE" w:rsidRDefault="00273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D6F" w:rsidRDefault="006F1D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</w:tblGrid>
    <w:tr w:rsidR="006F1D6F">
      <w:tc>
        <w:tcPr>
          <w:tcW w:w="9889" w:type="dxa"/>
        </w:tcPr>
        <w:p w:rsidR="006F1D6F" w:rsidRDefault="002732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RFQ/2021/18687</w:t>
          </w:r>
        </w:p>
      </w:tc>
    </w:tr>
  </w:tbl>
  <w:p w:rsidR="006F1D6F" w:rsidRDefault="006F1D6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D6F" w:rsidRDefault="002732C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5633"/>
    <w:multiLevelType w:val="multilevel"/>
    <w:tmpl w:val="73F84C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2C08EC"/>
    <w:multiLevelType w:val="multilevel"/>
    <w:tmpl w:val="0C20663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940AC6"/>
    <w:multiLevelType w:val="multilevel"/>
    <w:tmpl w:val="DC12204A"/>
    <w:lvl w:ilvl="0">
      <w:start w:val="1"/>
      <w:numFmt w:val="decimal"/>
      <w:pStyle w:val="bulletsundersubchap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ubsub-heading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4477C4F"/>
    <w:multiLevelType w:val="multilevel"/>
    <w:tmpl w:val="4EA6C2BA"/>
    <w:lvl w:ilvl="0">
      <w:start w:val="1"/>
      <w:numFmt w:val="bullet"/>
      <w:pStyle w:val="JICABullet2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F486AAE"/>
    <w:multiLevelType w:val="multilevel"/>
    <w:tmpl w:val="A2FAE952"/>
    <w:lvl w:ilvl="0">
      <w:start w:val="1"/>
      <w:numFmt w:val="bullet"/>
      <w:pStyle w:val="Headingwithnumbers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Sub-heading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Sub-sub-heading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Sub-sub-sub-heading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F50754F"/>
    <w:multiLevelType w:val="multilevel"/>
    <w:tmpl w:val="3EE40B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6F"/>
    <w:rsid w:val="002715C3"/>
    <w:rsid w:val="002732CE"/>
    <w:rsid w:val="006F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924EA3-13EE-4FE8-BB24-E8F10878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</w:style>
  <w:style w:type="numbering" w:customStyle="1" w:styleId="StyleNumbered1">
    <w:name w:val="Style Numbered1"/>
    <w:basedOn w:val="NoList"/>
    <w:rsid w:val="00FF74EC"/>
  </w:style>
  <w:style w:type="numbering" w:customStyle="1" w:styleId="StyleNumberedTimesNewRoman">
    <w:name w:val="Style Numbered Times New Roman"/>
    <w:basedOn w:val="NoList"/>
    <w:rsid w:val="00FF74EC"/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7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tabs>
        <w:tab w:val="num" w:pos="72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Od20hY2o3STh4rabLURKnI+IHQ==">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SantiagoM@unops.org</dc:creator>
  <cp:lastModifiedBy>UN</cp:lastModifiedBy>
  <cp:revision>2</cp:revision>
  <dcterms:created xsi:type="dcterms:W3CDTF">2021-02-02T13:19:00Z</dcterms:created>
  <dcterms:modified xsi:type="dcterms:W3CDTF">2021-02-02T13:19:00Z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