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0C37D5F3" w:rsidR="00821519" w:rsidRDefault="00821519" w:rsidP="004828AC">
      <w:r w:rsidRPr="00821519">
        <w:rPr>
          <w:b/>
        </w:rPr>
        <w:t>eSourcing reference</w:t>
      </w:r>
      <w:r w:rsidRPr="00821519">
        <w:t xml:space="preserve">: </w:t>
      </w:r>
      <w:r w:rsidR="004828AC" w:rsidRPr="004828AC">
        <w:t>RFQ/2021/18468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203C434" w14:textId="03DBB377" w:rsidR="00880D28" w:rsidRPr="00015706" w:rsidRDefault="00880D28" w:rsidP="00015706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33B04F33" w14:textId="36FC6EEE" w:rsidR="00880D28" w:rsidRPr="00731E3E" w:rsidRDefault="00880D28" w:rsidP="00015706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3FB536FE" w:rsidR="00880D28" w:rsidRDefault="00880D28" w:rsidP="00880D28"/>
    <w:p w14:paraId="260B8A83" w14:textId="61951B4F" w:rsidR="00015706" w:rsidRPr="00015706" w:rsidRDefault="00015706" w:rsidP="004828AC">
      <w:pPr>
        <w:autoSpaceDE w:val="0"/>
        <w:autoSpaceDN w:val="0"/>
        <w:adjustRightInd w:val="0"/>
        <w:rPr>
          <w:rFonts w:cs="Times New Roman"/>
          <w:b/>
          <w:bCs/>
          <w:i/>
          <w:iCs/>
          <w:color w:val="FF0000"/>
        </w:rPr>
      </w:pPr>
      <w:r w:rsidRPr="00015706">
        <w:rPr>
          <w:rFonts w:cs="Times New Roman"/>
          <w:b/>
          <w:bCs/>
          <w:i/>
          <w:iCs/>
          <w:color w:val="FF0000"/>
        </w:rPr>
        <w:t xml:space="preserve">Please fill in the </w:t>
      </w:r>
      <w:r>
        <w:rPr>
          <w:rFonts w:cs="Times New Roman"/>
          <w:b/>
          <w:bCs/>
          <w:i/>
          <w:iCs/>
          <w:color w:val="FF0000"/>
        </w:rPr>
        <w:t>prices related to</w:t>
      </w:r>
      <w:r w:rsidRPr="00015706">
        <w:rPr>
          <w:rFonts w:cs="Times New Roman"/>
          <w:b/>
          <w:bCs/>
          <w:i/>
          <w:iCs/>
          <w:color w:val="FF0000"/>
        </w:rPr>
        <w:t xml:space="preserve"> the </w:t>
      </w:r>
      <w:r w:rsidR="004828AC">
        <w:rPr>
          <w:rFonts w:cs="Times New Roman"/>
          <w:b/>
          <w:bCs/>
          <w:i/>
          <w:iCs/>
          <w:color w:val="FF0000"/>
        </w:rPr>
        <w:t>items</w:t>
      </w:r>
      <w:r w:rsidRPr="00015706">
        <w:rPr>
          <w:rFonts w:cs="Times New Roman"/>
          <w:b/>
          <w:bCs/>
          <w:i/>
          <w:iCs/>
          <w:color w:val="FF0000"/>
        </w:rPr>
        <w:t xml:space="preserve"> covered under offer. </w:t>
      </w:r>
      <w:r w:rsidR="00E05378">
        <w:rPr>
          <w:rFonts w:cs="Times New Roman"/>
          <w:b/>
          <w:bCs/>
          <w:i/>
          <w:iCs/>
          <w:color w:val="FF0000"/>
        </w:rPr>
        <w:t>Amend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2855D6">
        <w:rPr>
          <w:rFonts w:cs="Times New Roman"/>
          <w:b/>
          <w:bCs/>
          <w:i/>
          <w:iCs/>
          <w:color w:val="FF0000"/>
        </w:rPr>
        <w:t xml:space="preserve">the </w:t>
      </w:r>
      <w:r>
        <w:rPr>
          <w:rFonts w:cs="Times New Roman"/>
          <w:b/>
          <w:bCs/>
          <w:i/>
          <w:iCs/>
          <w:color w:val="FF0000"/>
        </w:rPr>
        <w:t xml:space="preserve">table </w:t>
      </w:r>
      <w:r w:rsidR="00E05378">
        <w:rPr>
          <w:rFonts w:cs="Times New Roman"/>
          <w:b/>
          <w:bCs/>
          <w:i/>
          <w:iCs/>
          <w:color w:val="FF0000"/>
        </w:rPr>
        <w:t>below</w:t>
      </w:r>
      <w:r>
        <w:rPr>
          <w:rFonts w:cs="Times New Roman"/>
          <w:b/>
          <w:bCs/>
          <w:i/>
          <w:iCs/>
          <w:color w:val="FF0000"/>
        </w:rPr>
        <w:t xml:space="preserve"> as you see suitable.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4473080B" w:rsidR="00880D28" w:rsidRPr="003470DA" w:rsidRDefault="00015706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JOD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1FDF2861" w:rsidR="00880D28" w:rsidRPr="00AD2DE8" w:rsidRDefault="004828AC" w:rsidP="00016D58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  <w:r w:rsidR="00880D28">
              <w:rPr>
                <w:b/>
              </w:rPr>
              <w:t xml:space="preserve">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6F8FCCA6" w:rsidR="00880D28" w:rsidRPr="00AD2DE8" w:rsidRDefault="00880D28" w:rsidP="00015706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="00015706">
              <w:rPr>
                <w:b/>
              </w:rPr>
              <w:t>DAP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392E81E8" w:rsidR="00880D28" w:rsidRPr="00AD2DE8" w:rsidRDefault="002041BE" w:rsidP="00015706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="00015706">
              <w:rPr>
                <w:b/>
              </w:rPr>
              <w:t>DAP</w:t>
            </w:r>
          </w:p>
        </w:tc>
      </w:tr>
      <w:tr w:rsidR="008344A5" w:rsidRPr="00AD2DE8" w14:paraId="2D9B34EE" w14:textId="77777777" w:rsidTr="00C41AD0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3EAE256E" w:rsidR="008344A5" w:rsidRPr="00AD2DE8" w:rsidRDefault="008344A5" w:rsidP="008344A5">
            <w:r>
              <w:rPr>
                <w:iCs/>
              </w:rPr>
              <w:t>1.</w:t>
            </w:r>
          </w:p>
        </w:tc>
        <w:tc>
          <w:tcPr>
            <w:tcW w:w="4536" w:type="dxa"/>
          </w:tcPr>
          <w:p w14:paraId="0D5B2147" w14:textId="1E1E9591" w:rsidR="008344A5" w:rsidRPr="00015706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7C184701" w14:textId="5C905168" w:rsidR="008344A5" w:rsidRPr="00015706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4A68E3A1" w14:textId="1BF94DA8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34F1717A" w14:textId="310B3CFF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67D6BF24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8344A5" w:rsidRPr="00AD2DE8" w:rsidRDefault="008344A5" w:rsidP="008344A5">
            <w:r w:rsidRPr="00AD2DE8">
              <w:t>2.</w:t>
            </w:r>
          </w:p>
        </w:tc>
        <w:tc>
          <w:tcPr>
            <w:tcW w:w="4536" w:type="dxa"/>
          </w:tcPr>
          <w:p w14:paraId="5E42B2A5" w14:textId="7BE62F0E" w:rsidR="008344A5" w:rsidRPr="00AD2DE8" w:rsidRDefault="008344A5" w:rsidP="008344A5">
            <w:pPr>
              <w:rPr>
                <w:highlight w:val="lightGray"/>
              </w:rPr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3FCC4F04" w14:textId="565FE24D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1C001596" w14:textId="119EC089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4A48D9C2" w14:textId="208658E0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5698F4C0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77777777" w:rsidR="008344A5" w:rsidRPr="00AD2DE8" w:rsidRDefault="008344A5" w:rsidP="008344A5">
            <w:r w:rsidRPr="00AD2DE8">
              <w:t>3.</w:t>
            </w:r>
          </w:p>
        </w:tc>
        <w:tc>
          <w:tcPr>
            <w:tcW w:w="4536" w:type="dxa"/>
          </w:tcPr>
          <w:p w14:paraId="3CA023A5" w14:textId="767E6737" w:rsidR="008344A5" w:rsidRPr="00AD2DE8" w:rsidRDefault="008344A5" w:rsidP="008344A5">
            <w:pPr>
              <w:rPr>
                <w:highlight w:val="lightGray"/>
              </w:rPr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6684344D" w14:textId="4D466A6E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78D7531F" w14:textId="2FE1DF74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779CD4B4" w14:textId="3D641C61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5B9CFCC5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44F2513A" w14:textId="77777777" w:rsidR="008344A5" w:rsidRPr="00AD2DE8" w:rsidRDefault="008344A5" w:rsidP="008344A5">
            <w:r w:rsidRPr="00AD2DE8">
              <w:t>4.</w:t>
            </w:r>
          </w:p>
        </w:tc>
        <w:tc>
          <w:tcPr>
            <w:tcW w:w="4536" w:type="dxa"/>
          </w:tcPr>
          <w:p w14:paraId="1F22F1FE" w14:textId="495E0F08" w:rsidR="008344A5" w:rsidRPr="00AD2DE8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1AAA6189" w14:textId="0D5E8C43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156C8A75" w14:textId="2CA03838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00085B23" w14:textId="052E819D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8344A5" w:rsidRPr="00AD2DE8" w14:paraId="3225CA13" w14:textId="77777777" w:rsidTr="00C41AD0">
        <w:trPr>
          <w:cantSplit/>
          <w:trHeight w:val="227"/>
        </w:trPr>
        <w:tc>
          <w:tcPr>
            <w:tcW w:w="993" w:type="dxa"/>
            <w:vAlign w:val="center"/>
          </w:tcPr>
          <w:p w14:paraId="3099EE1B" w14:textId="77777777" w:rsidR="008344A5" w:rsidRPr="00AD2DE8" w:rsidRDefault="008344A5" w:rsidP="008344A5">
            <w:r w:rsidRPr="00AD2DE8">
              <w:t>5.</w:t>
            </w:r>
          </w:p>
        </w:tc>
        <w:tc>
          <w:tcPr>
            <w:tcW w:w="4536" w:type="dxa"/>
          </w:tcPr>
          <w:p w14:paraId="1C504F70" w14:textId="410FBE89" w:rsidR="008344A5" w:rsidRPr="00AD2DE8" w:rsidRDefault="008344A5" w:rsidP="008344A5">
            <w:r w:rsidRPr="001A58D2">
              <w:rPr>
                <w:highlight w:val="cyan"/>
              </w:rPr>
              <w:t>insert</w:t>
            </w:r>
          </w:p>
        </w:tc>
        <w:tc>
          <w:tcPr>
            <w:tcW w:w="1134" w:type="dxa"/>
          </w:tcPr>
          <w:p w14:paraId="5004360E" w14:textId="127C5F74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59" w:type="dxa"/>
          </w:tcPr>
          <w:p w14:paraId="4C9AA408" w14:textId="32E1693B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  <w:tc>
          <w:tcPr>
            <w:tcW w:w="1514" w:type="dxa"/>
          </w:tcPr>
          <w:p w14:paraId="6393A4CA" w14:textId="7DF64AA3" w:rsidR="008344A5" w:rsidRPr="00AD2DE8" w:rsidRDefault="008344A5" w:rsidP="008344A5">
            <w:pPr>
              <w:jc w:val="center"/>
            </w:pPr>
            <w:r w:rsidRPr="001A58D2">
              <w:rPr>
                <w:highlight w:val="cyan"/>
              </w:rPr>
              <w:t>insert</w:t>
            </w:r>
          </w:p>
        </w:tc>
      </w:tr>
      <w:tr w:rsidR="00015706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77777777" w:rsidR="00015706" w:rsidRPr="003470DA" w:rsidRDefault="00015706" w:rsidP="00015706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412A8248" w14:textId="77777777" w:rsidR="00015706" w:rsidRPr="00AD2DE8" w:rsidRDefault="00015706" w:rsidP="00015706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168E795" w14:textId="77777777" w:rsidR="00880D28" w:rsidRPr="00731E3E" w:rsidRDefault="00880D28" w:rsidP="00880D28"/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2EAC40C8" w14:textId="7651338D" w:rsidR="00880D28" w:rsidRPr="00015706" w:rsidRDefault="00880D28" w:rsidP="00015706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13E0589" w14:textId="77777777" w:rsidR="00880D28" w:rsidRDefault="00880D28" w:rsidP="00880D28"/>
    <w:p w14:paraId="63671A2E" w14:textId="49D15A88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7F8AF9FB" w14:textId="1CE76F03" w:rsidR="00015706" w:rsidRDefault="00015706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59A7538" w14:textId="3892F51A" w:rsidR="00015706" w:rsidRPr="00015706" w:rsidRDefault="00015706" w:rsidP="004828AC">
      <w:pPr>
        <w:autoSpaceDE w:val="0"/>
        <w:autoSpaceDN w:val="0"/>
        <w:adjustRightInd w:val="0"/>
        <w:rPr>
          <w:rFonts w:cs="Times New Roman"/>
          <w:b/>
          <w:bCs/>
          <w:i/>
          <w:iCs/>
          <w:color w:val="FF0000"/>
        </w:rPr>
      </w:pPr>
      <w:r w:rsidRPr="00015706">
        <w:rPr>
          <w:rFonts w:cs="Times New Roman"/>
          <w:b/>
          <w:bCs/>
          <w:i/>
          <w:iCs/>
          <w:color w:val="FF0000"/>
        </w:rPr>
        <w:t xml:space="preserve">Please fill in the </w:t>
      </w:r>
      <w:r>
        <w:rPr>
          <w:rFonts w:cs="Times New Roman"/>
          <w:b/>
          <w:bCs/>
          <w:i/>
          <w:iCs/>
          <w:color w:val="FF0000"/>
        </w:rPr>
        <w:t xml:space="preserve">technical data related to </w:t>
      </w:r>
      <w:r w:rsidRPr="00015706">
        <w:rPr>
          <w:rFonts w:cs="Times New Roman"/>
          <w:b/>
          <w:bCs/>
          <w:i/>
          <w:iCs/>
          <w:color w:val="FF0000"/>
        </w:rPr>
        <w:t xml:space="preserve">the </w:t>
      </w:r>
      <w:r w:rsidR="004828AC">
        <w:rPr>
          <w:rFonts w:cs="Times New Roman"/>
          <w:b/>
          <w:bCs/>
          <w:i/>
          <w:iCs/>
          <w:color w:val="FF0000"/>
        </w:rPr>
        <w:t xml:space="preserve">items </w:t>
      </w:r>
      <w:r w:rsidRPr="00015706">
        <w:rPr>
          <w:rFonts w:cs="Times New Roman"/>
          <w:b/>
          <w:bCs/>
          <w:i/>
          <w:iCs/>
          <w:color w:val="FF0000"/>
        </w:rPr>
        <w:t>covered under offer.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4453ED">
        <w:rPr>
          <w:rFonts w:cs="Times New Roman"/>
          <w:b/>
          <w:bCs/>
          <w:i/>
          <w:iCs/>
          <w:color w:val="FF0000"/>
        </w:rPr>
        <w:t>Amend</w:t>
      </w:r>
      <w:r>
        <w:rPr>
          <w:rFonts w:cs="Times New Roman"/>
          <w:b/>
          <w:bCs/>
          <w:i/>
          <w:iCs/>
          <w:color w:val="FF0000"/>
        </w:rPr>
        <w:t xml:space="preserve"> </w:t>
      </w:r>
      <w:r w:rsidR="002855D6">
        <w:rPr>
          <w:rFonts w:cs="Times New Roman"/>
          <w:b/>
          <w:bCs/>
          <w:i/>
          <w:iCs/>
          <w:color w:val="FF0000"/>
        </w:rPr>
        <w:t xml:space="preserve">the </w:t>
      </w:r>
      <w:r>
        <w:rPr>
          <w:rFonts w:cs="Times New Roman"/>
          <w:b/>
          <w:bCs/>
          <w:i/>
          <w:iCs/>
          <w:color w:val="FF0000"/>
        </w:rPr>
        <w:t xml:space="preserve">table </w:t>
      </w:r>
      <w:r w:rsidR="004453ED">
        <w:rPr>
          <w:rFonts w:cs="Times New Roman"/>
          <w:b/>
          <w:bCs/>
          <w:i/>
          <w:iCs/>
          <w:color w:val="FF0000"/>
        </w:rPr>
        <w:t>below</w:t>
      </w:r>
      <w:r>
        <w:rPr>
          <w:rFonts w:cs="Times New Roman"/>
          <w:b/>
          <w:bCs/>
          <w:i/>
          <w:iCs/>
          <w:color w:val="FF0000"/>
        </w:rPr>
        <w:t xml:space="preserve"> as you see suitable.</w:t>
      </w:r>
    </w:p>
    <w:p w14:paraId="3697DD7E" w14:textId="77777777" w:rsidR="00015706" w:rsidRDefault="00015706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943420" w:rsidRPr="00E37EE6" w14:paraId="006F7C1E" w14:textId="77777777" w:rsidTr="007C358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72507C2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02A75394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83E0DC9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FA3BAA1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73B7E77" w14:textId="77777777" w:rsidR="00943420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634577" w:rsidRPr="00E37EE6" w14:paraId="1A68948C" w14:textId="77777777" w:rsidTr="008344A5">
        <w:tc>
          <w:tcPr>
            <w:tcW w:w="817" w:type="dxa"/>
            <w:vAlign w:val="center"/>
          </w:tcPr>
          <w:p w14:paraId="4FF9390E" w14:textId="54859C3D" w:rsidR="00634577" w:rsidRPr="00E37EE6" w:rsidRDefault="00634577" w:rsidP="00634577">
            <w:pPr>
              <w:jc w:val="center"/>
              <w:rPr>
                <w:iCs/>
              </w:rPr>
            </w:pPr>
            <w:bookmarkStart w:id="0" w:name="_GoBack" w:colFirst="0" w:colLast="0"/>
            <w:r>
              <w:rPr>
                <w:iCs/>
              </w:rPr>
              <w:t>1.</w:t>
            </w:r>
          </w:p>
        </w:tc>
        <w:tc>
          <w:tcPr>
            <w:tcW w:w="3151" w:type="dxa"/>
            <w:vAlign w:val="center"/>
          </w:tcPr>
          <w:p w14:paraId="270EA3BB" w14:textId="7098BF12" w:rsidR="00634577" w:rsidRPr="00E37EE6" w:rsidRDefault="00634577" w:rsidP="00634577">
            <w:pPr>
              <w:jc w:val="center"/>
              <w:rPr>
                <w:iCs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77AC1379" w14:textId="71E96F63" w:rsidR="00634577" w:rsidRPr="00E37EE6" w:rsidRDefault="00634577" w:rsidP="00634577">
            <w:pPr>
              <w:jc w:val="center"/>
              <w:rPr>
                <w:iCs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1F74014B" w14:textId="77777777" w:rsidR="00634577" w:rsidRPr="00E37EE6" w:rsidRDefault="00634577" w:rsidP="00634577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0626925" w14:textId="77777777" w:rsidR="00634577" w:rsidRDefault="00634577" w:rsidP="00634577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634577" w:rsidRPr="00E37EE6" w14:paraId="300A289D" w14:textId="77777777" w:rsidTr="008344A5">
        <w:tc>
          <w:tcPr>
            <w:tcW w:w="817" w:type="dxa"/>
            <w:vAlign w:val="center"/>
          </w:tcPr>
          <w:p w14:paraId="7FA92201" w14:textId="1C83A025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AD2DE8">
              <w:t>2.</w:t>
            </w:r>
          </w:p>
        </w:tc>
        <w:tc>
          <w:tcPr>
            <w:tcW w:w="3151" w:type="dxa"/>
            <w:vAlign w:val="center"/>
          </w:tcPr>
          <w:p w14:paraId="168A87B0" w14:textId="46B805D1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5B842036" w14:textId="1CC3ED7B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76D49713" w14:textId="237A5742" w:rsidR="00634577" w:rsidRDefault="00634577" w:rsidP="00634577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067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08110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54B49D7A" w14:textId="27725512" w:rsidR="00634577" w:rsidRPr="008C0A8B" w:rsidRDefault="00634577" w:rsidP="00634577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634577" w:rsidRPr="00E37EE6" w14:paraId="3DCA93B4" w14:textId="77777777" w:rsidTr="008344A5">
        <w:tc>
          <w:tcPr>
            <w:tcW w:w="817" w:type="dxa"/>
            <w:vAlign w:val="center"/>
          </w:tcPr>
          <w:p w14:paraId="33C65317" w14:textId="1AE6DC38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AD2DE8">
              <w:t>3.</w:t>
            </w:r>
          </w:p>
        </w:tc>
        <w:tc>
          <w:tcPr>
            <w:tcW w:w="3151" w:type="dxa"/>
            <w:vAlign w:val="center"/>
          </w:tcPr>
          <w:p w14:paraId="5A6E5B11" w14:textId="095CE771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56A8807A" w14:textId="4C27958B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1955B857" w14:textId="256915FA" w:rsidR="00634577" w:rsidRDefault="00634577" w:rsidP="00634577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625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693973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088DAA4A" w14:textId="4B7CDAF5" w:rsidR="00634577" w:rsidRPr="008C0A8B" w:rsidRDefault="00634577" w:rsidP="00634577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634577" w:rsidRPr="00E37EE6" w14:paraId="20630C5E" w14:textId="77777777" w:rsidTr="008344A5">
        <w:tc>
          <w:tcPr>
            <w:tcW w:w="817" w:type="dxa"/>
            <w:vAlign w:val="center"/>
          </w:tcPr>
          <w:p w14:paraId="1F912A6C" w14:textId="4B5DD961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AD2DE8">
              <w:t>4.</w:t>
            </w:r>
          </w:p>
        </w:tc>
        <w:tc>
          <w:tcPr>
            <w:tcW w:w="3151" w:type="dxa"/>
            <w:vAlign w:val="center"/>
          </w:tcPr>
          <w:p w14:paraId="1F153665" w14:textId="6E17BAB1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0BD48D46" w14:textId="1F620E77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743C5BF7" w14:textId="7EF61234" w:rsidR="00634577" w:rsidRDefault="00634577" w:rsidP="00634577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53083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98276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AA11302" w14:textId="412554F1" w:rsidR="00634577" w:rsidRPr="008C0A8B" w:rsidRDefault="00634577" w:rsidP="00634577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634577" w:rsidRPr="00E37EE6" w14:paraId="29C180E0" w14:textId="77777777" w:rsidTr="008344A5">
        <w:tc>
          <w:tcPr>
            <w:tcW w:w="817" w:type="dxa"/>
            <w:vAlign w:val="center"/>
          </w:tcPr>
          <w:p w14:paraId="44628253" w14:textId="613E9CF9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AD2DE8">
              <w:t>5.</w:t>
            </w:r>
          </w:p>
        </w:tc>
        <w:tc>
          <w:tcPr>
            <w:tcW w:w="3151" w:type="dxa"/>
            <w:vAlign w:val="center"/>
          </w:tcPr>
          <w:p w14:paraId="122E9467" w14:textId="245520CF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818" w:type="dxa"/>
            <w:vAlign w:val="center"/>
          </w:tcPr>
          <w:p w14:paraId="1FFFFCA0" w14:textId="70D86E8D" w:rsidR="00634577" w:rsidRPr="000E0E14" w:rsidRDefault="00634577" w:rsidP="00634577">
            <w:pPr>
              <w:jc w:val="center"/>
              <w:rPr>
                <w:highlight w:val="cyan"/>
              </w:rPr>
            </w:pPr>
            <w:r w:rsidRPr="000E0E14">
              <w:rPr>
                <w:highlight w:val="cyan"/>
              </w:rPr>
              <w:t>insert</w:t>
            </w:r>
          </w:p>
        </w:tc>
        <w:tc>
          <w:tcPr>
            <w:tcW w:w="1985" w:type="dxa"/>
            <w:vAlign w:val="center"/>
          </w:tcPr>
          <w:p w14:paraId="3A8B4B5C" w14:textId="049DC9FF" w:rsidR="00634577" w:rsidRDefault="00634577" w:rsidP="00634577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49038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90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0CD6DBF8" w14:textId="345AF0C3" w:rsidR="00634577" w:rsidRPr="008C0A8B" w:rsidRDefault="00634577" w:rsidP="00634577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bookmarkEnd w:id="0"/>
    </w:tbl>
    <w:p w14:paraId="14A7E3C1" w14:textId="792ABF9C" w:rsidR="00880D28" w:rsidRDefault="00880D28" w:rsidP="00880D28">
      <w:pPr>
        <w:ind w:right="-318"/>
        <w:jc w:val="both"/>
        <w:rPr>
          <w:b/>
          <w:bCs/>
        </w:rPr>
      </w:pPr>
    </w:p>
    <w:p w14:paraId="30721770" w14:textId="60CFC0BD" w:rsidR="00880D28" w:rsidRPr="00015706" w:rsidRDefault="00880D28" w:rsidP="00015706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4C4CB97B" w14:textId="77777777" w:rsidR="00943420" w:rsidRDefault="00943420" w:rsidP="00943420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943420" w:rsidRPr="006464FC" w14:paraId="17A57AC2" w14:textId="77777777" w:rsidTr="007C3584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36748803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F92BD3F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B72F1C7" w14:textId="77777777" w:rsidR="00943420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3B23B9A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4828AC" w:rsidRPr="006464FC" w14:paraId="71A0B8FA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2632909" w14:textId="77777777" w:rsidR="004828AC" w:rsidRPr="003470DA" w:rsidRDefault="004828AC" w:rsidP="004828AC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12A1FD3" w14:textId="7E87D05A" w:rsidR="004828AC" w:rsidRPr="003470DA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r w:rsidRPr="004406B6">
              <w:rPr>
                <w:rFonts w:ascii="Arial" w:hAnsi="Arial"/>
                <w:iCs/>
              </w:rPr>
              <w:t xml:space="preserve">Bidder shall deliver the goods immediately after PO issuance </w:t>
            </w:r>
            <w:r>
              <w:rPr>
                <w:rFonts w:ascii="Arial" w:hAnsi="Arial"/>
                <w:iCs/>
              </w:rPr>
              <w:t xml:space="preserve">or </w:t>
            </w:r>
            <w:r w:rsidRPr="004406B6">
              <w:rPr>
                <w:rFonts w:ascii="Arial" w:hAnsi="Arial"/>
                <w:iCs/>
              </w:rPr>
              <w:t xml:space="preserve">maximum before the end of </w:t>
            </w:r>
            <w:r>
              <w:rPr>
                <w:rFonts w:ascii="Arial" w:hAnsi="Arial"/>
                <w:iCs/>
              </w:rPr>
              <w:t xml:space="preserve">Jan </w:t>
            </w:r>
            <w:r w:rsidRPr="004406B6">
              <w:rPr>
                <w:rFonts w:ascii="Arial" w:hAnsi="Arial"/>
                <w:iCs/>
              </w:rPr>
              <w:t>202</w:t>
            </w:r>
            <w:r>
              <w:rPr>
                <w:rFonts w:ascii="Arial" w:hAnsi="Arial"/>
                <w:iCs/>
              </w:rPr>
              <w:t>1</w:t>
            </w:r>
          </w:p>
        </w:tc>
        <w:tc>
          <w:tcPr>
            <w:tcW w:w="2126" w:type="dxa"/>
            <w:vAlign w:val="center"/>
          </w:tcPr>
          <w:p w14:paraId="7813CE85" w14:textId="77777777" w:rsidR="004828AC" w:rsidRPr="00117A83" w:rsidRDefault="004828AC" w:rsidP="004828AC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AE6C1AC" w14:textId="77777777" w:rsidR="004828AC" w:rsidRPr="00117A83" w:rsidRDefault="004828AC" w:rsidP="004828AC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4828AC" w:rsidRPr="006464FC" w14:paraId="74730645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DE53253" w14:textId="77777777" w:rsidR="004828AC" w:rsidRPr="003470DA" w:rsidRDefault="004828AC" w:rsidP="004828AC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30CA3578" w14:textId="77777777" w:rsidR="004828AC" w:rsidRDefault="004828AC" w:rsidP="004828AC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Mainly </w:t>
            </w:r>
            <w:r w:rsidRPr="004406B6">
              <w:rPr>
                <w:rFonts w:ascii="Arial" w:hAnsi="Arial"/>
                <w:iCs/>
              </w:rPr>
              <w:t xml:space="preserve">DAP </w:t>
            </w:r>
            <w:r w:rsidRPr="00A23101">
              <w:rPr>
                <w:rFonts w:ascii="Arial" w:hAnsi="Arial"/>
                <w:iCs/>
              </w:rPr>
              <w:t>Al-Sukhneh Primary Girls School</w:t>
            </w:r>
            <w:r>
              <w:rPr>
                <w:rFonts w:ascii="Arial" w:hAnsi="Arial"/>
                <w:iCs/>
              </w:rPr>
              <w:t xml:space="preserve"> - Zarqa</w:t>
            </w:r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Jordan</w:t>
            </w:r>
          </w:p>
          <w:p w14:paraId="1CC87C63" w14:textId="58721BC0" w:rsidR="004828AC" w:rsidRPr="003470DA" w:rsidRDefault="004828AC" w:rsidP="004828AC">
            <w:pPr>
              <w:rPr>
                <w:rFonts w:ascii="Arial" w:hAnsi="Arial"/>
                <w:highlight w:val="yellow"/>
                <w:lang w:val="en-AU"/>
              </w:rPr>
            </w:pPr>
            <w:r>
              <w:rPr>
                <w:rFonts w:ascii="Arial" w:hAnsi="Arial"/>
                <w:iCs/>
              </w:rPr>
              <w:t xml:space="preserve">Except 1 Desktop + 1 printer </w:t>
            </w:r>
            <w:r w:rsidRPr="004406B6">
              <w:rPr>
                <w:rFonts w:ascii="Arial" w:hAnsi="Arial"/>
                <w:iCs/>
              </w:rPr>
              <w:t xml:space="preserve">DAP </w:t>
            </w:r>
            <w:r w:rsidRPr="007D50B5">
              <w:rPr>
                <w:rFonts w:ascii="Arial" w:hAnsi="Arial"/>
                <w:iCs/>
              </w:rPr>
              <w:t xml:space="preserve">Jabal Amman Primary School for Girls </w:t>
            </w:r>
            <w:r>
              <w:rPr>
                <w:rFonts w:ascii="Arial" w:hAnsi="Arial"/>
                <w:iCs/>
              </w:rPr>
              <w:t>- Amman</w:t>
            </w:r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Jordan</w:t>
            </w:r>
          </w:p>
        </w:tc>
        <w:tc>
          <w:tcPr>
            <w:tcW w:w="2126" w:type="dxa"/>
            <w:vAlign w:val="center"/>
          </w:tcPr>
          <w:p w14:paraId="52589A76" w14:textId="77777777" w:rsidR="004828AC" w:rsidRPr="00117A83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C2A790F" w14:textId="77777777" w:rsidR="004828AC" w:rsidRPr="00117A83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4828AC" w:rsidRPr="006464FC" w14:paraId="597F4A9E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BC46C64" w14:textId="77777777" w:rsidR="004828AC" w:rsidRPr="006464FC" w:rsidRDefault="004828AC" w:rsidP="004828AC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7F507B42" w14:textId="77777777" w:rsidR="004828AC" w:rsidRDefault="004828AC" w:rsidP="004828AC">
            <w:pPr>
              <w:rPr>
                <w:rFonts w:ascii="Arial" w:hAnsi="Arial"/>
                <w:iCs/>
              </w:rPr>
            </w:pPr>
            <w:r w:rsidRPr="00A23101">
              <w:rPr>
                <w:rFonts w:ascii="Arial" w:hAnsi="Arial"/>
                <w:iCs/>
              </w:rPr>
              <w:t>Al-Sukhneh Primary Girls School</w:t>
            </w:r>
            <w:r>
              <w:rPr>
                <w:rFonts w:ascii="Arial" w:hAnsi="Arial"/>
                <w:iCs/>
              </w:rPr>
              <w:t xml:space="preserve"> - Zarqa</w:t>
            </w:r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Jordan</w:t>
            </w:r>
          </w:p>
          <w:p w14:paraId="397F24C0" w14:textId="4D95A22A" w:rsidR="004828AC" w:rsidRPr="006464FC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r>
              <w:rPr>
                <w:rFonts w:ascii="Arial" w:hAnsi="Arial"/>
                <w:iCs/>
              </w:rPr>
              <w:t xml:space="preserve">And </w:t>
            </w:r>
            <w:r w:rsidRPr="007D50B5">
              <w:rPr>
                <w:rFonts w:ascii="Arial" w:hAnsi="Arial"/>
                <w:iCs/>
              </w:rPr>
              <w:t xml:space="preserve">Jabal Amman Primary School for Girls </w:t>
            </w:r>
            <w:r>
              <w:rPr>
                <w:rFonts w:ascii="Arial" w:hAnsi="Arial"/>
                <w:iCs/>
              </w:rPr>
              <w:t>- Amman</w:t>
            </w:r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</w:t>
            </w:r>
            <w:r w:rsidRPr="004406B6">
              <w:rPr>
                <w:rFonts w:ascii="Arial" w:hAnsi="Arial"/>
                <w:iCs/>
              </w:rPr>
              <w:lastRenderedPageBreak/>
              <w:t>Jordan</w:t>
            </w:r>
          </w:p>
        </w:tc>
        <w:tc>
          <w:tcPr>
            <w:tcW w:w="2126" w:type="dxa"/>
            <w:vAlign w:val="center"/>
          </w:tcPr>
          <w:p w14:paraId="5DB1AD4B" w14:textId="77777777" w:rsidR="004828AC" w:rsidRPr="00117A83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4520465" w14:textId="77777777" w:rsidR="004828AC" w:rsidRPr="00117A83" w:rsidRDefault="004828AC" w:rsidP="004828AC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4828AC" w:rsidRPr="006464FC" w14:paraId="394AC441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35E6485" w14:textId="77777777" w:rsidR="004828AC" w:rsidRPr="006464FC" w:rsidRDefault="004828AC" w:rsidP="004828AC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574302FA" w14:textId="0A45ABFF" w:rsidR="004828AC" w:rsidRPr="006464FC" w:rsidRDefault="004828AC" w:rsidP="004828AC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4406B6">
              <w:rPr>
                <w:rFonts w:ascii="Arial" w:hAnsi="Arial" w:cs="Arial"/>
                <w:spacing w:val="0"/>
                <w:sz w:val="20"/>
              </w:rPr>
              <w:t>provided this does not exceed +/- 20% ,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40D627A8" w14:textId="77777777" w:rsidR="004828AC" w:rsidRPr="00117A83" w:rsidRDefault="004828AC" w:rsidP="004828AC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2BC3504" w14:textId="77777777" w:rsidR="004828AC" w:rsidRPr="00117A83" w:rsidRDefault="004828AC" w:rsidP="004828AC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77777777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0C0906" w14:textId="1814DA08" w:rsidR="00880D28" w:rsidRPr="0033775E" w:rsidRDefault="00880D28" w:rsidP="0033775E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6C20C83F" w:rsidR="00880D28" w:rsidRPr="009F494C" w:rsidRDefault="00880D28" w:rsidP="00015706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4A0A1653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  <w:r w:rsidR="00015706">
              <w:rPr>
                <w:b/>
                <w:bCs/>
                <w:noProof/>
                <w:spacing w:val="-2"/>
              </w:rPr>
              <w:t xml:space="preserve"> of delivery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4B0EE259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 xml:space="preserve">Total amount of </w:t>
            </w:r>
            <w:r w:rsidR="00015706">
              <w:rPr>
                <w:b/>
                <w:bCs/>
                <w:spacing w:val="-2"/>
              </w:rPr>
              <w:t>order JOD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3BC88939" w:rsidR="00880D28" w:rsidRPr="009F494C" w:rsidRDefault="00015706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Order Number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64D01A38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telephone, email)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66A9AF72" w:rsidR="00880D28" w:rsidRPr="009F494C" w:rsidRDefault="00880D28" w:rsidP="00015706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 xml:space="preserve">Year </w:t>
            </w:r>
            <w:r w:rsidR="00015706">
              <w:rPr>
                <w:b/>
                <w:bCs/>
                <w:spacing w:val="-2"/>
              </w:rPr>
              <w:t>order was delivered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FE5FB" w14:textId="77777777" w:rsidR="00871DE8" w:rsidRDefault="00871DE8">
      <w:r>
        <w:separator/>
      </w:r>
    </w:p>
  </w:endnote>
  <w:endnote w:type="continuationSeparator" w:id="0">
    <w:p w14:paraId="2687DBFA" w14:textId="77777777" w:rsidR="00871DE8" w:rsidRDefault="0087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3485E591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634577">
            <w:rPr>
              <w:rFonts w:ascii="Arial" w:hAnsi="Arial"/>
              <w:noProof/>
              <w:sz w:val="18"/>
              <w:szCs w:val="18"/>
            </w:rPr>
            <w:t>5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4AF3E" w14:textId="77777777" w:rsidR="00871DE8" w:rsidRDefault="00871DE8">
      <w:r>
        <w:separator/>
      </w:r>
    </w:p>
  </w:footnote>
  <w:footnote w:type="continuationSeparator" w:id="0">
    <w:p w14:paraId="632246BF" w14:textId="77777777" w:rsidR="00871DE8" w:rsidRDefault="0087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706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55D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6A7E"/>
    <w:rsid w:val="0033719A"/>
    <w:rsid w:val="0033775E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1E82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3ED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28AC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4577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670B3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44A5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1DE8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78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221AF457-E77B-47D2-B925-1140A5AC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883F89-2B95-4F15-9FCE-C88917C7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8914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GAZZAZ</cp:lastModifiedBy>
  <cp:revision>9</cp:revision>
  <cp:lastPrinted>2014-08-19T14:30:00Z</cp:lastPrinted>
  <dcterms:created xsi:type="dcterms:W3CDTF">2018-01-23T14:04:00Z</dcterms:created>
  <dcterms:modified xsi:type="dcterms:W3CDTF">2021-01-17T14:51:00Z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