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w:t>
      </w:r>
      <w:r w:rsidDel="00000000" w:rsidR="00000000" w:rsidRPr="00000000">
        <w:rPr>
          <w:rFonts w:ascii="Calibri" w:cs="Calibri" w:eastAsia="Calibri" w:hAnsi="Calibri"/>
          <w:color w:val="000000"/>
          <w:sz w:val="22"/>
          <w:szCs w:val="22"/>
          <w:rtl w:val="0"/>
        </w:rPr>
        <w:t xml:space="preserve"> Republican Hospital-Hajjah city in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43.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26"/>
        <w:gridCol w:w="8217"/>
        <w:tblGridChange w:id="0">
          <w:tblGrid>
            <w:gridCol w:w="1526"/>
            <w:gridCol w:w="8217"/>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5</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Republican Hospital-Hajjah city in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rPr>
          <w:b w:val="1"/>
          <w:color w:val="000000"/>
        </w:rPr>
      </w:pPr>
      <w:r w:rsidDel="00000000" w:rsidR="00000000" w:rsidRPr="00000000">
        <w:rPr>
          <w:rtl w:val="0"/>
        </w:rPr>
      </w:r>
    </w:p>
    <w:p w:rsidR="00000000" w:rsidDel="00000000" w:rsidP="00000000" w:rsidRDefault="00000000" w:rsidRPr="00000000" w14:paraId="0000000D">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E">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Republican Hospital-Hajjah city in Yemen.</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4">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5">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p>
    <w:p w:rsidR="00000000" w:rsidDel="00000000" w:rsidP="00000000" w:rsidRDefault="00000000" w:rsidRPr="00000000" w14:paraId="00000016">
      <w:pPr>
        <w:rPr>
          <w:b w:val="1"/>
          <w:color w:val="00000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tabs>
          <w:tab w:val="left" w:pos="8340"/>
        </w:tabs>
        <w:rPr/>
      </w:pPr>
      <w:r w:rsidDel="00000000" w:rsidR="00000000" w:rsidRPr="00000000">
        <w:rPr>
          <w:rtl w:val="0"/>
        </w:rPr>
        <w:tab/>
      </w:r>
    </w:p>
    <w:p w:rsidR="00000000" w:rsidDel="00000000" w:rsidP="00000000" w:rsidRDefault="00000000" w:rsidRPr="00000000" w14:paraId="0000001B">
      <w:pPr>
        <w:rPr>
          <w:b w:val="1"/>
          <w:color w:val="000000"/>
        </w:rPr>
      </w:pPr>
      <w:r w:rsidDel="00000000" w:rsidR="00000000" w:rsidRPr="00000000">
        <w:rPr>
          <w:rtl w:val="0"/>
        </w:rPr>
      </w:r>
    </w:p>
    <w:p w:rsidR="00000000" w:rsidDel="00000000" w:rsidP="00000000" w:rsidRDefault="00000000" w:rsidRPr="00000000" w14:paraId="0000001C">
      <w:pPr>
        <w:rPr>
          <w:b w:val="1"/>
          <w:color w:val="000000"/>
        </w:rPr>
      </w:pPr>
      <w:r w:rsidDel="00000000" w:rsidR="00000000" w:rsidRPr="00000000">
        <w:rPr>
          <w:rtl w:val="0"/>
        </w:rPr>
      </w:r>
    </w:p>
    <w:p w:rsidR="00000000" w:rsidDel="00000000" w:rsidP="00000000" w:rsidRDefault="00000000" w:rsidRPr="00000000" w14:paraId="0000001D">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E">
            <w:pPr>
              <w:keepNext w:val="1"/>
              <w:keepLines w:val="1"/>
              <w:spacing w:after="240" w:before="360" w:lineRule="auto"/>
              <w:rPr>
                <w:b w:val="1"/>
                <w:color w:val="000000"/>
                <w:sz w:val="24"/>
                <w:szCs w:val="24"/>
              </w:rPr>
            </w:pPr>
            <w:r w:rsidDel="00000000" w:rsidR="00000000" w:rsidRPr="00000000">
              <w:rPr>
                <w:b w:val="1"/>
                <w:sz w:val="24"/>
                <w:szCs w:val="24"/>
                <w:rtl w:val="0"/>
              </w:rPr>
              <w:t xml:space="preserve">Lot# 5</w:t>
            </w:r>
            <w:r w:rsidDel="00000000" w:rsidR="00000000" w:rsidRPr="00000000">
              <w:rPr>
                <w:rtl w:val="0"/>
              </w:rPr>
            </w:r>
          </w:p>
        </w:tc>
        <w:tc>
          <w:tcPr/>
          <w:p w:rsidR="00000000" w:rsidDel="00000000" w:rsidP="00000000" w:rsidRDefault="00000000" w:rsidRPr="00000000" w14:paraId="0000001F">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for Republican Hospital-Hajjah city in Yemen.</w:t>
            </w:r>
          </w:p>
        </w:tc>
      </w:tr>
    </w:tb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21">
      <w:pPr>
        <w:rPr>
          <w:b w:val="1"/>
          <w:color w:val="000000"/>
        </w:rPr>
      </w:pPr>
      <w:r w:rsidDel="00000000" w:rsidR="00000000" w:rsidRPr="00000000">
        <w:rPr>
          <w:rtl w:val="0"/>
        </w:rPr>
      </w:r>
    </w:p>
    <w:p w:rsidR="00000000" w:rsidDel="00000000" w:rsidP="00000000" w:rsidRDefault="00000000" w:rsidRPr="00000000" w14:paraId="00000022">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23">
            <w:pPr>
              <w:rPr>
                <w:b w:val="1"/>
                <w:sz w:val="24"/>
                <w:szCs w:val="24"/>
              </w:rPr>
            </w:pPr>
            <w:r w:rsidDel="00000000" w:rsidR="00000000" w:rsidRPr="00000000">
              <w:rPr>
                <w:b w:val="1"/>
                <w:sz w:val="24"/>
                <w:szCs w:val="24"/>
                <w:rtl w:val="0"/>
              </w:rPr>
              <w:t xml:space="preserve">5.1</w:t>
            </w:r>
          </w:p>
        </w:tc>
        <w:tc>
          <w:tcPr>
            <w:shd w:fill="f2f2f2" w:val="clear"/>
            <w:vAlign w:val="center"/>
          </w:tcPr>
          <w:p w:rsidR="00000000" w:rsidDel="00000000" w:rsidP="00000000" w:rsidRDefault="00000000" w:rsidRPr="00000000" w14:paraId="00000024">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2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2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w:t>
            </w:r>
          </w:p>
        </w:tc>
        <w:tc>
          <w:tcPr>
            <w:shd w:fill="auto" w:val="clear"/>
          </w:tcPr>
          <w:p w:rsidR="00000000" w:rsidDel="00000000" w:rsidP="00000000" w:rsidRDefault="00000000" w:rsidRPr="00000000" w14:paraId="0000002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28">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2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5.1.2</w:t>
            </w:r>
          </w:p>
        </w:tc>
        <w:tc>
          <w:tcPr>
            <w:gridSpan w:val="2"/>
            <w:shd w:fill="auto" w:val="clear"/>
            <w:vAlign w:val="center"/>
          </w:tcPr>
          <w:p w:rsidR="00000000" w:rsidDel="00000000" w:rsidP="00000000" w:rsidRDefault="00000000" w:rsidRPr="00000000" w14:paraId="0000002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5.1.3</w:t>
            </w:r>
          </w:p>
        </w:tc>
        <w:tc>
          <w:tcPr>
            <w:gridSpan w:val="2"/>
            <w:shd w:fill="auto" w:val="clear"/>
            <w:vAlign w:val="center"/>
          </w:tcPr>
          <w:p w:rsidR="00000000" w:rsidDel="00000000" w:rsidP="00000000" w:rsidRDefault="00000000" w:rsidRPr="00000000" w14:paraId="0000002F">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31">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32">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33">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34">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35">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36">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37">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38">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3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A">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B">
            <w:pPr>
              <w:rPr>
                <w:b w:val="1"/>
                <w:sz w:val="24"/>
                <w:szCs w:val="24"/>
              </w:rPr>
            </w:pPr>
            <w:r w:rsidDel="00000000" w:rsidR="00000000" w:rsidRPr="00000000">
              <w:rPr>
                <w:b w:val="1"/>
                <w:sz w:val="24"/>
                <w:szCs w:val="24"/>
                <w:rtl w:val="0"/>
              </w:rPr>
              <w:t xml:space="preserve">5.2</w:t>
            </w:r>
          </w:p>
        </w:tc>
        <w:tc>
          <w:tcPr>
            <w:shd w:fill="f2f2f2" w:val="clear"/>
            <w:vAlign w:val="center"/>
          </w:tcPr>
          <w:p w:rsidR="00000000" w:rsidDel="00000000" w:rsidP="00000000" w:rsidRDefault="00000000" w:rsidRPr="00000000" w14:paraId="0000003C">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E">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5.2.1</w:t>
            </w:r>
          </w:p>
        </w:tc>
        <w:tc>
          <w:tcPr>
            <w:shd w:fill="auto" w:val="clear"/>
            <w:vAlign w:val="center"/>
          </w:tcPr>
          <w:p w:rsidR="00000000" w:rsidDel="00000000" w:rsidP="00000000" w:rsidRDefault="00000000" w:rsidRPr="00000000" w14:paraId="000000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41">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4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5.2.2</w:t>
            </w:r>
          </w:p>
        </w:tc>
        <w:tc>
          <w:tcPr>
            <w:gridSpan w:val="2"/>
            <w:shd w:fill="auto" w:val="clear"/>
          </w:tcPr>
          <w:p w:rsidR="00000000" w:rsidDel="00000000" w:rsidP="00000000" w:rsidRDefault="00000000" w:rsidRPr="00000000" w14:paraId="0000004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4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4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5.2.3</w:t>
            </w:r>
          </w:p>
        </w:tc>
        <w:tc>
          <w:tcPr>
            <w:gridSpan w:val="2"/>
            <w:shd w:fill="auto" w:val="clear"/>
          </w:tcPr>
          <w:p w:rsidR="00000000" w:rsidDel="00000000" w:rsidP="00000000" w:rsidRDefault="00000000" w:rsidRPr="00000000" w14:paraId="0000004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C">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D">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E">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F">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50">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51">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52">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53">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5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55">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5.3</w:t>
            </w:r>
          </w:p>
        </w:tc>
        <w:tc>
          <w:tcPr>
            <w:shd w:fill="f2f2f2" w:val="clear"/>
            <w:vAlign w:val="center"/>
          </w:tcPr>
          <w:p w:rsidR="00000000" w:rsidDel="00000000" w:rsidP="00000000" w:rsidRDefault="00000000" w:rsidRPr="00000000" w14:paraId="00000057">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58">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59">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5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5.3.1</w:t>
            </w:r>
          </w:p>
        </w:tc>
        <w:tc>
          <w:tcPr>
            <w:shd w:fill="auto" w:val="clear"/>
            <w:vAlign w:val="center"/>
          </w:tcPr>
          <w:p w:rsidR="00000000" w:rsidDel="00000000" w:rsidP="00000000" w:rsidRDefault="00000000" w:rsidRPr="00000000" w14:paraId="0000005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6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5.3.2</w:t>
            </w:r>
          </w:p>
        </w:tc>
        <w:tc>
          <w:tcPr>
            <w:gridSpan w:val="3"/>
            <w:shd w:fill="auto" w:val="clear"/>
          </w:tcPr>
          <w:p w:rsidR="00000000" w:rsidDel="00000000" w:rsidP="00000000" w:rsidRDefault="00000000" w:rsidRPr="00000000" w14:paraId="0000006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6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6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5.3.3</w:t>
            </w:r>
          </w:p>
        </w:tc>
        <w:tc>
          <w:tcPr>
            <w:gridSpan w:val="3"/>
            <w:shd w:fill="auto" w:val="clear"/>
          </w:tcPr>
          <w:p w:rsidR="00000000" w:rsidDel="00000000" w:rsidP="00000000" w:rsidRDefault="00000000" w:rsidRPr="00000000" w14:paraId="00000069">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6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E">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F">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70">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71">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72">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73">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74">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75">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7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77">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78">
            <w:pPr>
              <w:rPr>
                <w:b w:val="1"/>
                <w:sz w:val="24"/>
                <w:szCs w:val="24"/>
              </w:rPr>
            </w:pPr>
            <w:r w:rsidDel="00000000" w:rsidR="00000000" w:rsidRPr="00000000">
              <w:rPr>
                <w:b w:val="1"/>
                <w:sz w:val="24"/>
                <w:szCs w:val="24"/>
                <w:rtl w:val="0"/>
              </w:rPr>
              <w:t xml:space="preserve">5.4</w:t>
            </w:r>
          </w:p>
        </w:tc>
        <w:tc>
          <w:tcPr>
            <w:shd w:fill="f2f2f2" w:val="clear"/>
            <w:vAlign w:val="center"/>
          </w:tcPr>
          <w:p w:rsidR="00000000" w:rsidDel="00000000" w:rsidP="00000000" w:rsidRDefault="00000000" w:rsidRPr="00000000" w14:paraId="00000079">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7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7B">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7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5.4.1</w:t>
            </w:r>
          </w:p>
        </w:tc>
        <w:tc>
          <w:tcPr>
            <w:shd w:fill="auto" w:val="clear"/>
            <w:vAlign w:val="center"/>
          </w:tcPr>
          <w:p w:rsidR="00000000" w:rsidDel="00000000" w:rsidP="00000000" w:rsidRDefault="00000000" w:rsidRPr="00000000" w14:paraId="0000007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7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5.4.2</w:t>
            </w:r>
          </w:p>
        </w:tc>
        <w:tc>
          <w:tcPr>
            <w:gridSpan w:val="2"/>
            <w:shd w:fill="auto" w:val="clear"/>
          </w:tcPr>
          <w:p w:rsidR="00000000" w:rsidDel="00000000" w:rsidP="00000000" w:rsidRDefault="00000000" w:rsidRPr="00000000" w14:paraId="0000008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8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8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5.4.3</w:t>
            </w:r>
          </w:p>
        </w:tc>
        <w:tc>
          <w:tcPr>
            <w:gridSpan w:val="2"/>
            <w:shd w:fill="auto" w:val="clear"/>
          </w:tcPr>
          <w:p w:rsidR="00000000" w:rsidDel="00000000" w:rsidP="00000000" w:rsidRDefault="00000000" w:rsidRPr="00000000" w14:paraId="0000008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87">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8">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89">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8A">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8B">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8C">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8D">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8E">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F">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9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91">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92">
            <w:pPr>
              <w:rPr>
                <w:b w:val="1"/>
                <w:sz w:val="24"/>
                <w:szCs w:val="24"/>
              </w:rPr>
            </w:pPr>
            <w:r w:rsidDel="00000000" w:rsidR="00000000" w:rsidRPr="00000000">
              <w:rPr>
                <w:b w:val="1"/>
                <w:sz w:val="24"/>
                <w:szCs w:val="24"/>
                <w:rtl w:val="0"/>
              </w:rPr>
              <w:t xml:space="preserve">5.5</w:t>
            </w:r>
          </w:p>
        </w:tc>
        <w:tc>
          <w:tcPr>
            <w:shd w:fill="f2f2f2" w:val="clear"/>
            <w:vAlign w:val="center"/>
          </w:tcPr>
          <w:p w:rsidR="00000000" w:rsidDel="00000000" w:rsidP="00000000" w:rsidRDefault="00000000" w:rsidRPr="00000000" w14:paraId="00000093">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9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9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5.5.1</w:t>
            </w:r>
          </w:p>
        </w:tc>
        <w:tc>
          <w:tcPr>
            <w:shd w:fill="auto" w:val="clear"/>
            <w:vAlign w:val="center"/>
          </w:tcPr>
          <w:p w:rsidR="00000000" w:rsidDel="00000000" w:rsidP="00000000" w:rsidRDefault="00000000" w:rsidRPr="00000000" w14:paraId="000000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99">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4"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9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5.5.2</w:t>
            </w:r>
          </w:p>
        </w:tc>
        <w:tc>
          <w:tcPr>
            <w:gridSpan w:val="3"/>
            <w:shd w:fill="auto" w:val="clear"/>
          </w:tcPr>
          <w:p w:rsidR="00000000" w:rsidDel="00000000" w:rsidP="00000000" w:rsidRDefault="00000000" w:rsidRPr="00000000" w14:paraId="0000009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9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A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5.5.3</w:t>
            </w:r>
          </w:p>
        </w:tc>
        <w:tc>
          <w:tcPr>
            <w:gridSpan w:val="3"/>
            <w:shd w:fill="auto" w:val="clear"/>
          </w:tcPr>
          <w:p w:rsidR="00000000" w:rsidDel="00000000" w:rsidP="00000000" w:rsidRDefault="00000000" w:rsidRPr="00000000" w14:paraId="000000A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A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8">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A9">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AA">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AB">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AC">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AD">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AE">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F">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B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B1">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B2">
            <w:pPr>
              <w:rPr>
                <w:b w:val="1"/>
                <w:sz w:val="24"/>
                <w:szCs w:val="24"/>
              </w:rPr>
            </w:pPr>
            <w:r w:rsidDel="00000000" w:rsidR="00000000" w:rsidRPr="00000000">
              <w:rPr>
                <w:b w:val="1"/>
                <w:sz w:val="24"/>
                <w:szCs w:val="24"/>
                <w:rtl w:val="0"/>
              </w:rPr>
              <w:t xml:space="preserve">5.6</w:t>
            </w:r>
          </w:p>
        </w:tc>
        <w:tc>
          <w:tcPr>
            <w:shd w:fill="f2f2f2" w:val="clear"/>
            <w:vAlign w:val="center"/>
          </w:tcPr>
          <w:p w:rsidR="00000000" w:rsidDel="00000000" w:rsidP="00000000" w:rsidRDefault="00000000" w:rsidRPr="00000000" w14:paraId="000000B3">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B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B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5.6.1</w:t>
            </w:r>
          </w:p>
        </w:tc>
        <w:tc>
          <w:tcPr>
            <w:shd w:fill="auto" w:val="clear"/>
            <w:vAlign w:val="center"/>
          </w:tcPr>
          <w:p w:rsidR="00000000" w:rsidDel="00000000" w:rsidP="00000000" w:rsidRDefault="00000000" w:rsidRPr="00000000" w14:paraId="000000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B9">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27"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B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5.6.2</w:t>
            </w:r>
          </w:p>
        </w:tc>
        <w:tc>
          <w:tcPr>
            <w:gridSpan w:val="3"/>
            <w:shd w:fill="auto" w:val="clear"/>
          </w:tcPr>
          <w:p w:rsidR="00000000" w:rsidDel="00000000" w:rsidP="00000000" w:rsidRDefault="00000000" w:rsidRPr="00000000" w14:paraId="000000B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B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C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5.6.3</w:t>
            </w:r>
          </w:p>
        </w:tc>
        <w:tc>
          <w:tcPr>
            <w:gridSpan w:val="3"/>
            <w:shd w:fill="auto" w:val="clear"/>
          </w:tcPr>
          <w:p w:rsidR="00000000" w:rsidDel="00000000" w:rsidP="00000000" w:rsidRDefault="00000000" w:rsidRPr="00000000" w14:paraId="000000C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C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8">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C9">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CA">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CB">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CC">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CD">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CE">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F">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D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1">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D2">
            <w:pPr>
              <w:rPr>
                <w:b w:val="1"/>
                <w:sz w:val="24"/>
                <w:szCs w:val="24"/>
              </w:rPr>
            </w:pPr>
            <w:r w:rsidDel="00000000" w:rsidR="00000000" w:rsidRPr="00000000">
              <w:rPr>
                <w:b w:val="1"/>
                <w:sz w:val="24"/>
                <w:szCs w:val="24"/>
                <w:rtl w:val="0"/>
              </w:rPr>
              <w:t xml:space="preserve">5.7</w:t>
            </w:r>
          </w:p>
        </w:tc>
        <w:tc>
          <w:tcPr>
            <w:shd w:fill="f2f2f2" w:val="clear"/>
            <w:vAlign w:val="center"/>
          </w:tcPr>
          <w:p w:rsidR="00000000" w:rsidDel="00000000" w:rsidP="00000000" w:rsidRDefault="00000000" w:rsidRPr="00000000" w14:paraId="000000D3">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D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D5">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D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5.7.1</w:t>
            </w:r>
          </w:p>
        </w:tc>
        <w:tc>
          <w:tcPr>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D8">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26"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D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5.7.2</w:t>
            </w:r>
          </w:p>
        </w:tc>
        <w:tc>
          <w:tcPr>
            <w:gridSpan w:val="2"/>
            <w:shd w:fill="auto" w:val="clear"/>
          </w:tcPr>
          <w:p w:rsidR="00000000" w:rsidDel="00000000" w:rsidP="00000000" w:rsidRDefault="00000000" w:rsidRPr="00000000" w14:paraId="000000D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D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D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D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5.7.3</w:t>
            </w:r>
          </w:p>
        </w:tc>
        <w:tc>
          <w:tcPr>
            <w:gridSpan w:val="2"/>
            <w:shd w:fill="auto" w:val="clear"/>
          </w:tcPr>
          <w:p w:rsidR="00000000" w:rsidDel="00000000" w:rsidP="00000000" w:rsidRDefault="00000000" w:rsidRPr="00000000" w14:paraId="000000DF">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E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E2">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E3">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E4">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E5">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E6">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E7">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E8">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E9">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EA">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EB">
            <w:pPr>
              <w:rPr>
                <w:b w:val="1"/>
                <w:sz w:val="24"/>
                <w:szCs w:val="24"/>
              </w:rPr>
            </w:pPr>
            <w:r w:rsidDel="00000000" w:rsidR="00000000" w:rsidRPr="00000000">
              <w:rPr>
                <w:b w:val="1"/>
                <w:sz w:val="24"/>
                <w:szCs w:val="24"/>
                <w:rtl w:val="0"/>
              </w:rPr>
              <w:t xml:space="preserve">5.8</w:t>
            </w:r>
          </w:p>
        </w:tc>
        <w:tc>
          <w:tcPr>
            <w:shd w:fill="f2f2f2" w:val="clear"/>
            <w:vAlign w:val="center"/>
          </w:tcPr>
          <w:p w:rsidR="00000000" w:rsidDel="00000000" w:rsidP="00000000" w:rsidRDefault="00000000" w:rsidRPr="00000000" w14:paraId="000000EC">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E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E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5.8.1</w:t>
            </w:r>
          </w:p>
        </w:tc>
        <w:tc>
          <w:tcPr>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F0">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4445" cy="1487805"/>
                  <wp:effectExtent b="0" l="0" r="0" t="0"/>
                  <wp:docPr id="29"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1274445" cy="148780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F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5.8.2</w:t>
            </w:r>
          </w:p>
        </w:tc>
        <w:tc>
          <w:tcPr>
            <w:gridSpan w:val="2"/>
            <w:shd w:fill="auto" w:val="clear"/>
          </w:tcPr>
          <w:p w:rsidR="00000000" w:rsidDel="00000000" w:rsidP="00000000" w:rsidRDefault="00000000" w:rsidRPr="00000000" w14:paraId="000000F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F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F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F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5.8.3</w:t>
            </w:r>
          </w:p>
        </w:tc>
        <w:tc>
          <w:tcPr>
            <w:gridSpan w:val="2"/>
            <w:shd w:fill="auto" w:val="clear"/>
          </w:tcPr>
          <w:p w:rsidR="00000000" w:rsidDel="00000000" w:rsidP="00000000" w:rsidRDefault="00000000" w:rsidRPr="00000000" w14:paraId="000000F7">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F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F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FB">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FC">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FD">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FE">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FF">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00">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01">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0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3">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04">
            <w:pPr>
              <w:rPr>
                <w:b w:val="1"/>
                <w:sz w:val="24"/>
                <w:szCs w:val="24"/>
              </w:rPr>
            </w:pPr>
            <w:r w:rsidDel="00000000" w:rsidR="00000000" w:rsidRPr="00000000">
              <w:rPr>
                <w:b w:val="1"/>
                <w:sz w:val="24"/>
                <w:szCs w:val="24"/>
                <w:rtl w:val="0"/>
              </w:rPr>
              <w:t xml:space="preserve">5.9</w:t>
            </w:r>
          </w:p>
        </w:tc>
        <w:tc>
          <w:tcPr>
            <w:shd w:fill="f2f2f2" w:val="clear"/>
            <w:vAlign w:val="center"/>
          </w:tcPr>
          <w:p w:rsidR="00000000" w:rsidDel="00000000" w:rsidP="00000000" w:rsidRDefault="00000000" w:rsidRPr="00000000" w14:paraId="00000105">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106">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0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5.9.1</w:t>
            </w:r>
          </w:p>
        </w:tc>
        <w:tc>
          <w:tcPr>
            <w:shd w:fill="auto" w:val="clear"/>
            <w:vAlign w:val="center"/>
          </w:tcPr>
          <w:p w:rsidR="00000000" w:rsidDel="00000000" w:rsidP="00000000" w:rsidRDefault="00000000" w:rsidRPr="00000000" w14:paraId="0000010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109">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28"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0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5.9.2</w:t>
            </w:r>
          </w:p>
        </w:tc>
        <w:tc>
          <w:tcPr>
            <w:gridSpan w:val="2"/>
            <w:shd w:fill="auto" w:val="clear"/>
          </w:tcPr>
          <w:p w:rsidR="00000000" w:rsidDel="00000000" w:rsidP="00000000" w:rsidRDefault="00000000" w:rsidRPr="00000000" w14:paraId="0000010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0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5.9.3</w:t>
            </w:r>
          </w:p>
        </w:tc>
        <w:tc>
          <w:tcPr>
            <w:gridSpan w:val="2"/>
            <w:shd w:fill="auto" w:val="clear"/>
          </w:tcPr>
          <w:p w:rsidR="00000000" w:rsidDel="00000000" w:rsidP="00000000" w:rsidRDefault="00000000" w:rsidRPr="00000000" w14:paraId="0000011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1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1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14">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15">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16">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17">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18">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19">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1A">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1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1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1D">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1E">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1F">
            <w:pPr>
              <w:rPr>
                <w:b w:val="1"/>
                <w:sz w:val="24"/>
                <w:szCs w:val="24"/>
              </w:rPr>
            </w:pPr>
            <w:r w:rsidDel="00000000" w:rsidR="00000000" w:rsidRPr="00000000">
              <w:rPr>
                <w:b w:val="1"/>
                <w:sz w:val="24"/>
                <w:szCs w:val="24"/>
                <w:rtl w:val="0"/>
              </w:rPr>
              <w:t xml:space="preserve">5.10</w:t>
            </w:r>
          </w:p>
        </w:tc>
        <w:tc>
          <w:tcPr>
            <w:shd w:fill="f2f2f2" w:val="clear"/>
            <w:vAlign w:val="center"/>
          </w:tcPr>
          <w:p w:rsidR="00000000" w:rsidDel="00000000" w:rsidP="00000000" w:rsidRDefault="00000000" w:rsidRPr="00000000" w14:paraId="00000120">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2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12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2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5.10.1</w:t>
            </w:r>
          </w:p>
        </w:tc>
        <w:tc>
          <w:tcPr>
            <w:shd w:fill="auto" w:val="clear"/>
            <w:vAlign w:val="center"/>
          </w:tcPr>
          <w:p w:rsidR="00000000" w:rsidDel="00000000" w:rsidP="00000000" w:rsidRDefault="00000000" w:rsidRPr="00000000" w14:paraId="000001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25">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1"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2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5.10.2</w:t>
            </w:r>
          </w:p>
        </w:tc>
        <w:tc>
          <w:tcPr>
            <w:gridSpan w:val="2"/>
            <w:shd w:fill="auto" w:val="clear"/>
          </w:tcPr>
          <w:p w:rsidR="00000000" w:rsidDel="00000000" w:rsidP="00000000" w:rsidRDefault="00000000" w:rsidRPr="00000000" w14:paraId="0000012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2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2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2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5.10.3</w:t>
            </w:r>
          </w:p>
        </w:tc>
        <w:tc>
          <w:tcPr>
            <w:gridSpan w:val="2"/>
            <w:shd w:fill="auto" w:val="clear"/>
          </w:tcPr>
          <w:p w:rsidR="00000000" w:rsidDel="00000000" w:rsidP="00000000" w:rsidRDefault="00000000" w:rsidRPr="00000000" w14:paraId="0000012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2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0">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1">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32">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33">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34">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35">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36">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3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9">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3A">
            <w:pPr>
              <w:rPr>
                <w:b w:val="1"/>
                <w:sz w:val="24"/>
                <w:szCs w:val="24"/>
              </w:rPr>
            </w:pPr>
            <w:r w:rsidDel="00000000" w:rsidR="00000000" w:rsidRPr="00000000">
              <w:rPr>
                <w:b w:val="1"/>
                <w:sz w:val="24"/>
                <w:szCs w:val="24"/>
                <w:rtl w:val="0"/>
              </w:rPr>
              <w:t xml:space="preserve">5.11</w:t>
            </w:r>
          </w:p>
        </w:tc>
        <w:tc>
          <w:tcPr>
            <w:shd w:fill="f2f2f2" w:val="clear"/>
            <w:vAlign w:val="center"/>
          </w:tcPr>
          <w:p w:rsidR="00000000" w:rsidDel="00000000" w:rsidP="00000000" w:rsidRDefault="00000000" w:rsidRPr="00000000" w14:paraId="0000013B">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3C">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3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5.11.1</w:t>
            </w:r>
          </w:p>
        </w:tc>
        <w:tc>
          <w:tcPr>
            <w:shd w:fill="auto" w:val="clear"/>
            <w:vAlign w:val="center"/>
          </w:tcPr>
          <w:p w:rsidR="00000000" w:rsidDel="00000000" w:rsidP="00000000" w:rsidRDefault="00000000" w:rsidRPr="00000000" w14:paraId="0000013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3F">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0"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4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5.11.2</w:t>
            </w:r>
          </w:p>
        </w:tc>
        <w:tc>
          <w:tcPr>
            <w:gridSpan w:val="2"/>
            <w:shd w:fill="auto" w:val="clear"/>
          </w:tcPr>
          <w:p w:rsidR="00000000" w:rsidDel="00000000" w:rsidP="00000000" w:rsidRDefault="00000000" w:rsidRPr="00000000" w14:paraId="0000014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45">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5.11.3</w:t>
            </w:r>
          </w:p>
        </w:tc>
        <w:tc>
          <w:tcPr>
            <w:gridSpan w:val="2"/>
            <w:shd w:fill="auto" w:val="clear"/>
          </w:tcPr>
          <w:p w:rsidR="00000000" w:rsidDel="00000000" w:rsidP="00000000" w:rsidRDefault="00000000" w:rsidRPr="00000000" w14:paraId="0000014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4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4A">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4B">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4C">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4D">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4E">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4F">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50">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5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4">
      <w:pPr>
        <w:widowControl w:val="0"/>
        <w:tabs>
          <w:tab w:val="left" w:pos="475"/>
        </w:tabs>
        <w:ind w:right="417"/>
        <w:rPr/>
      </w:pPr>
      <w:r w:rsidDel="00000000" w:rsidR="00000000" w:rsidRPr="00000000">
        <w:rPr>
          <w:rtl w:val="0"/>
        </w:rPr>
      </w:r>
    </w:p>
    <w:p w:rsidR="00000000" w:rsidDel="00000000" w:rsidP="00000000" w:rsidRDefault="00000000" w:rsidRPr="00000000" w14:paraId="00000155">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56">
      <w:pPr>
        <w:rPr>
          <w:b w:val="1"/>
          <w:color w:val="000000"/>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58">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5A">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5B">
            <w:pPr>
              <w:jc w:val="center"/>
              <w:rPr>
                <w:b w:val="1"/>
              </w:rPr>
            </w:pPr>
            <w:r w:rsidDel="00000000" w:rsidR="00000000" w:rsidRPr="00000000">
              <w:rPr>
                <w:b w:val="1"/>
                <w:rtl w:val="0"/>
              </w:rPr>
              <w:t xml:space="preserve">Details</w:t>
            </w:r>
          </w:p>
          <w:p w:rsidR="00000000" w:rsidDel="00000000" w:rsidP="00000000" w:rsidRDefault="00000000" w:rsidRPr="00000000" w14:paraId="0000015C">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5D">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5E">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5F">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0">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61">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62">
            <w:pPr>
              <w:rPr>
                <w:highlight w:val="yellow"/>
              </w:rPr>
            </w:pPr>
            <w:r w:rsidDel="00000000" w:rsidR="00000000" w:rsidRPr="00000000">
              <w:rPr>
                <w:rtl w:val="0"/>
              </w:rPr>
              <w:t xml:space="preserve">Delivery at Place DAP to Hajjah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63">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4">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65">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69">
      <w:pPr>
        <w:widowControl w:val="0"/>
        <w:tabs>
          <w:tab w:val="left" w:pos="475"/>
        </w:tabs>
        <w:ind w:right="417"/>
        <w:rPr/>
      </w:pPr>
      <w:r w:rsidDel="00000000" w:rsidR="00000000" w:rsidRPr="00000000">
        <w:rPr>
          <w:rtl w:val="0"/>
        </w:rPr>
      </w:r>
    </w:p>
    <w:p w:rsidR="00000000" w:rsidDel="00000000" w:rsidP="00000000" w:rsidRDefault="00000000" w:rsidRPr="00000000" w14:paraId="0000016A">
      <w:pPr>
        <w:widowControl w:val="0"/>
        <w:tabs>
          <w:tab w:val="left" w:pos="475"/>
        </w:tabs>
        <w:ind w:right="417"/>
        <w:rPr/>
      </w:pPr>
      <w:r w:rsidDel="00000000" w:rsidR="00000000" w:rsidRPr="00000000">
        <w:rPr>
          <w:rtl w:val="0"/>
        </w:rPr>
      </w:r>
    </w:p>
    <w:p w:rsidR="00000000" w:rsidDel="00000000" w:rsidP="00000000" w:rsidRDefault="00000000" w:rsidRPr="00000000" w14:paraId="0000016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6C">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76">
    <w:pPr>
      <w:rPr/>
    </w:pPr>
    <w:r w:rsidDel="00000000" w:rsidR="00000000" w:rsidRPr="00000000">
      <w:rPr>
        <w:sz w:val="18"/>
        <w:szCs w:val="18"/>
      </w:rPr>
      <w:drawing>
        <wp:inline distB="0" distT="0" distL="0" distR="0">
          <wp:extent cx="844475" cy="144000"/>
          <wp:effectExtent b="0" l="0" r="0" t="0"/>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032887"/>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image" Target="media/image8.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2.xml"/><Relationship Id="rId14" Type="http://schemas.openxmlformats.org/officeDocument/2006/relationships/image" Target="media/image7.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15DAlK8JkdsiZbmyIZkME26FVQ==">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