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7D48A" w14:textId="77777777" w:rsidR="00575232" w:rsidRPr="00DA6BE1" w:rsidRDefault="00575232" w:rsidP="00575232">
      <w:pPr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val="fr-FR" w:eastAsia="en-GB"/>
        </w:rPr>
      </w:pPr>
      <w:r w:rsidRPr="00DA6BE1">
        <w:rPr>
          <w:rFonts w:asciiTheme="minorHAnsi" w:eastAsia="Times New Roman" w:hAnsiTheme="minorHAnsi" w:cstheme="minorHAnsi"/>
          <w:b/>
          <w:bCs/>
          <w:sz w:val="28"/>
          <w:szCs w:val="28"/>
          <w:lang w:val="fr-FR" w:eastAsia="en-GB"/>
        </w:rPr>
        <w:t>REPONSES AUX QUESTIONS</w:t>
      </w:r>
    </w:p>
    <w:p w14:paraId="4411957D" w14:textId="77777777" w:rsidR="00575232" w:rsidRPr="00DA6BE1" w:rsidRDefault="00575232" w:rsidP="00575232">
      <w:pPr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val="fr-FR" w:eastAsia="en-GB"/>
        </w:rPr>
      </w:pPr>
      <w:r w:rsidRPr="00DA6BE1">
        <w:rPr>
          <w:rFonts w:asciiTheme="minorHAnsi" w:eastAsia="Times New Roman" w:hAnsiTheme="minorHAnsi" w:cstheme="minorHAnsi"/>
          <w:b/>
          <w:bCs/>
          <w:sz w:val="28"/>
          <w:szCs w:val="28"/>
          <w:lang w:val="fr-FR" w:eastAsia="en-GB"/>
        </w:rPr>
        <w:t>DAO N° RFPS 9164080 : Produits et services de communication</w:t>
      </w:r>
    </w:p>
    <w:p w14:paraId="71A0BC2A" w14:textId="77777777" w:rsidR="00575232" w:rsidRPr="00385A35" w:rsidRDefault="00575232" w:rsidP="00575232">
      <w:pPr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fr-FR" w:eastAsia="en-GB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val="fr-FR" w:eastAsia="en-GB"/>
        </w:rPr>
        <w:pict w14:anchorId="013B909F">
          <v:rect id="_x0000_i1025" style="width:0;height:1.5pt" o:hralign="center" o:hrstd="t" o:hr="t" fillcolor="#a0a0a0" stroked="f"/>
        </w:pict>
      </w:r>
    </w:p>
    <w:p w14:paraId="3E5F9CB5" w14:textId="77777777" w:rsidR="00575232" w:rsidRPr="00E62FB2" w:rsidRDefault="00575232" w:rsidP="00575232">
      <w:pP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</w:p>
    <w:p w14:paraId="750B928F" w14:textId="77777777" w:rsidR="00575232" w:rsidRPr="00385A35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1- </w:t>
      </w:r>
      <w:r w:rsidRPr="00385A35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Un consultant individuel peut-il postuler à cet appel d’offres ? ou est-ce que cela doit être une entreprise ? </w:t>
      </w:r>
    </w:p>
    <w:p w14:paraId="58026ABD" w14:textId="77777777" w:rsidR="00575232" w:rsidRPr="00385A35" w:rsidRDefault="00575232" w:rsidP="00575232">
      <w:pPr>
        <w:jc w:val="both"/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</w:pP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>Non, il s’agira de contrat institutionnel pas individuel. Cependant une entreprise/cabinet unipersonnel avec les documents cités dans l’appel d’offres est accepté.</w:t>
      </w:r>
    </w:p>
    <w:p w14:paraId="6FC5B8FD" w14:textId="77777777" w:rsidR="00575232" w:rsidRPr="00E62FB2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</w:p>
    <w:p w14:paraId="0F56A412" w14:textId="77777777" w:rsidR="00575232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2- U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ne entité étrangère peut-elle postuler à cet appel d’offre</w:t>
      </w: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s 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? </w:t>
      </w:r>
      <w:r w:rsidRPr="00385A35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Une structure étrangère avec une filiale burkinabè en cours de création est-elle éligible à l'appel d'offre</w:t>
      </w: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s ?</w:t>
      </w:r>
    </w:p>
    <w:p w14:paraId="09E0F838" w14:textId="77777777" w:rsidR="00575232" w:rsidRPr="00385A35" w:rsidRDefault="00575232" w:rsidP="00575232">
      <w:pPr>
        <w:jc w:val="both"/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</w:pPr>
      <w:r w:rsidRPr="00385A35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>OUI, cet appel d’appel d’offres est ouvert à tout le monde. Les structures étrangères peuvent aussi postuler.</w:t>
      </w:r>
    </w:p>
    <w:p w14:paraId="169F403B" w14:textId="77777777" w:rsidR="00575232" w:rsidRPr="00E62FB2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</w:p>
    <w:p w14:paraId="766FE0A3" w14:textId="77777777" w:rsidR="00575232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3- Q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uelles pièces doit-on fournir en lieu et place d’une attestation de la CNSS, </w:t>
      </w: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si l’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institution n’exist</w:t>
      </w: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e pas dans le pays où la structure est établie ? </w:t>
      </w:r>
    </w:p>
    <w:p w14:paraId="3D09B8D0" w14:textId="77777777" w:rsidR="00575232" w:rsidRPr="00385A35" w:rsidRDefault="00575232" w:rsidP="00575232">
      <w:pPr>
        <w:jc w:val="both"/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</w:pPr>
      <w:r w:rsidRPr="00385A35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Pour les entreprises étrangères, une attestation 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d’affiliation à la structure équivalente à la CNSS ou tout autre document garantissant la sécurité sociale (assurance par exemple) </w:t>
      </w:r>
      <w:r w:rsidRPr="00385A35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>du pays où l’entreprise est établie (hors du Burkina) est valable à la place de la CNSS.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 </w:t>
      </w:r>
    </w:p>
    <w:p w14:paraId="3903D71C" w14:textId="77777777" w:rsidR="00575232" w:rsidRPr="00E62FB2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</w:p>
    <w:p w14:paraId="636014F4" w14:textId="77777777" w:rsidR="00575232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4- C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oncernant le mode de dépôt, peut-on déposer le dossier par voie électronique, soit par email soit directement sur le site UNGM. </w:t>
      </w:r>
    </w:p>
    <w:p w14:paraId="7810AEED" w14:textId="57C51067" w:rsidR="00575232" w:rsidRPr="00385A35" w:rsidRDefault="00575232" w:rsidP="00575232">
      <w:pPr>
        <w:jc w:val="both"/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</w:pPr>
      <w:r w:rsidRPr="00385A35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Le dépôt des dossiers se fait 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de préférence </w:t>
      </w:r>
      <w:r w:rsidRPr="00385A35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>dans les urnes prévues à cet effet au bureau de l’UNICEF à Ouagadougou pour les structures basées au Burkina Faso. Pour celles qui sont basées en dehors du Burkina Faso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 ou qui pour une raison ne pourront pas faire le déplacement</w:t>
      </w:r>
      <w:r w:rsidRPr="00385A35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, le dépôt se fait </w:t>
      </w:r>
      <w:r w:rsidRPr="00991DAC">
        <w:rPr>
          <w:rFonts w:asciiTheme="minorHAnsi" w:eastAsia="Times New Roman" w:hAnsiTheme="minorHAnsi" w:cstheme="minorHAnsi"/>
          <w:color w:val="0070C0"/>
          <w:sz w:val="24"/>
          <w:szCs w:val="24"/>
          <w:u w:val="single"/>
          <w:lang w:val="fr-FR" w:eastAsia="en-GB"/>
        </w:rPr>
        <w:t>uniquement</w:t>
      </w:r>
      <w:r w:rsidRPr="00385A35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 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à l’adresse email </w:t>
      </w:r>
      <w:hyperlink r:id="rId4" w:history="1">
        <w:r w:rsidRPr="004A568B">
          <w:rPr>
            <w:rStyle w:val="Hyperlink"/>
            <w:rFonts w:asciiTheme="minorHAnsi" w:eastAsia="Times New Roman" w:hAnsiTheme="minorHAnsi" w:cstheme="minorHAnsi"/>
            <w:sz w:val="24"/>
            <w:szCs w:val="24"/>
            <w:lang w:val="fr-FR" w:eastAsia="en-GB"/>
          </w:rPr>
          <w:t>BUF-Ouaga-Bids@unicef.org</w:t>
        </w:r>
      </w:hyperlink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>. Les dépôts sur UNGM ne sont pas acceptés. Merci de vous rappeler de la séparation des offres technique et financière</w:t>
      </w:r>
      <w:r w:rsidRPr="0007461A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 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pour les deux modes de soumission. Se référer aux indications du document d’appel d’offres pour plus de 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>détails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>.</w:t>
      </w:r>
    </w:p>
    <w:p w14:paraId="3313B595" w14:textId="77777777" w:rsidR="00575232" w:rsidRPr="00E62FB2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</w:p>
    <w:p w14:paraId="1629D5CB" w14:textId="77777777" w:rsidR="00575232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5- 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Serait-ce possible d’avoir l’ANNEXE C en format excel ou équivalent. </w:t>
      </w:r>
    </w:p>
    <w:p w14:paraId="5DFB9D38" w14:textId="77777777" w:rsidR="00575232" w:rsidRDefault="00575232" w:rsidP="00575232">
      <w:pPr>
        <w:jc w:val="both"/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</w:pPr>
      <w:r w:rsidRPr="00385A35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L’annexe C 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>en</w:t>
      </w:r>
      <w:r w:rsidRPr="00385A35"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 xml:space="preserve"> en format Excel </w:t>
      </w:r>
      <w:r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  <w:t>vous sera envoyé, mais veuillez retenir que seule l’offre signée fait foi.</w:t>
      </w:r>
    </w:p>
    <w:p w14:paraId="18CB4A55" w14:textId="77777777" w:rsidR="00575232" w:rsidRDefault="00575232" w:rsidP="00575232">
      <w:pPr>
        <w:jc w:val="both"/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</w:pPr>
    </w:p>
    <w:p w14:paraId="49EF6250" w14:textId="51865621" w:rsidR="00575232" w:rsidRPr="00385A35" w:rsidRDefault="00575232" w:rsidP="00575232">
      <w:pPr>
        <w:jc w:val="both"/>
        <w:rPr>
          <w:rFonts w:asciiTheme="minorHAnsi" w:eastAsia="Times New Roman" w:hAnsiTheme="minorHAnsi" w:cstheme="minorHAnsi"/>
          <w:color w:val="C45911" w:themeColor="accent2" w:themeShade="BF"/>
          <w:sz w:val="24"/>
          <w:szCs w:val="24"/>
          <w:lang w:val="fr-FR" w:eastAsia="en-GB"/>
        </w:rPr>
      </w:pPr>
      <w:r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6- 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Qu’incluez dans votre demande de prix pour le LOT 1 par «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vidéo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 production», «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vidéo</w:t>
      </w:r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 xml:space="preserve"> post-produc</w:t>
      </w:r>
      <w:bookmarkStart w:id="0" w:name="_GoBack"/>
      <w:bookmarkEnd w:id="0"/>
      <w:r w:rsidRPr="00E62FB2"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  <w:t>tion» ? </w:t>
      </w:r>
    </w:p>
    <w:p w14:paraId="7F9B832E" w14:textId="77777777" w:rsidR="00575232" w:rsidRPr="00991DAC" w:rsidRDefault="00575232" w:rsidP="00575232">
      <w:pPr>
        <w:jc w:val="both"/>
        <w:rPr>
          <w:color w:val="0070C0"/>
          <w:lang w:val="fr-FR"/>
        </w:rPr>
      </w:pPr>
      <w:r w:rsidRPr="00991DAC">
        <w:rPr>
          <w:color w:val="0070C0"/>
          <w:lang w:val="fr-FR"/>
        </w:rPr>
        <w:t>La production concerne la réalisation</w:t>
      </w:r>
      <w:r>
        <w:rPr>
          <w:color w:val="0070C0"/>
          <w:lang w:val="fr-FR"/>
        </w:rPr>
        <w:t xml:space="preserve"> </w:t>
      </w:r>
      <w:r w:rsidRPr="00991DAC">
        <w:rPr>
          <w:color w:val="0070C0"/>
          <w:lang w:val="fr-FR"/>
        </w:rPr>
        <w:t>(tournage) d’une vidéo, et la post-production c’est le montage de cette vidéo. Généralement les tarifs journaliers peuvent varier en fonction de cela.</w:t>
      </w:r>
    </w:p>
    <w:p w14:paraId="0C04800A" w14:textId="77777777" w:rsidR="00575232" w:rsidRPr="00991DAC" w:rsidRDefault="00575232" w:rsidP="00575232">
      <w:pPr>
        <w:jc w:val="both"/>
        <w:rPr>
          <w:color w:val="0070C0"/>
          <w:lang w:val="fr-FR"/>
        </w:rPr>
      </w:pPr>
      <w:r w:rsidRPr="00991DAC">
        <w:rPr>
          <w:color w:val="0070C0"/>
          <w:lang w:val="fr-FR"/>
        </w:rPr>
        <w:t>Pour les photos également</w:t>
      </w:r>
      <w:r>
        <w:rPr>
          <w:color w:val="0070C0"/>
          <w:lang w:val="fr-FR"/>
        </w:rPr>
        <w:t>,</w:t>
      </w:r>
      <w:r w:rsidRPr="00991DAC">
        <w:rPr>
          <w:color w:val="0070C0"/>
          <w:lang w:val="fr-FR"/>
        </w:rPr>
        <w:t xml:space="preserve"> la production c’est la prise des photos, et la post-production </w:t>
      </w:r>
      <w:r>
        <w:rPr>
          <w:color w:val="0070C0"/>
          <w:lang w:val="fr-FR"/>
        </w:rPr>
        <w:t xml:space="preserve">c’est </w:t>
      </w:r>
      <w:r w:rsidRPr="00991DAC">
        <w:rPr>
          <w:color w:val="0070C0"/>
          <w:lang w:val="fr-FR"/>
        </w:rPr>
        <w:t>le traitement, le tri, l’insertion du crédit photos…</w:t>
      </w:r>
    </w:p>
    <w:p w14:paraId="23B0AAB8" w14:textId="77777777" w:rsidR="00575232" w:rsidRPr="00385A35" w:rsidRDefault="00575232" w:rsidP="00575232">
      <w:pPr>
        <w:jc w:val="both"/>
        <w:rPr>
          <w:rFonts w:asciiTheme="minorHAnsi" w:eastAsia="Times New Roman" w:hAnsiTheme="minorHAnsi" w:cstheme="minorHAnsi"/>
          <w:color w:val="0070C0"/>
          <w:sz w:val="24"/>
          <w:szCs w:val="24"/>
          <w:lang w:val="fr-FR" w:eastAsia="en-GB"/>
        </w:rPr>
      </w:pPr>
    </w:p>
    <w:p w14:paraId="4B921954" w14:textId="77777777" w:rsidR="00575232" w:rsidRPr="00E62FB2" w:rsidRDefault="00575232" w:rsidP="00575232">
      <w:pPr>
        <w:jc w:val="both"/>
        <w:rPr>
          <w:rFonts w:asciiTheme="minorHAnsi" w:eastAsia="Times New Roman" w:hAnsiTheme="minorHAnsi" w:cstheme="minorHAnsi"/>
          <w:sz w:val="24"/>
          <w:szCs w:val="24"/>
          <w:lang w:val="fr-FR" w:eastAsia="en-GB"/>
        </w:rPr>
      </w:pPr>
    </w:p>
    <w:p w14:paraId="3EE2861B" w14:textId="77777777" w:rsidR="00575232" w:rsidRPr="00E62FB2" w:rsidRDefault="00575232" w:rsidP="00575232">
      <w:pPr>
        <w:jc w:val="both"/>
      </w:pPr>
    </w:p>
    <w:p w14:paraId="0FFD9E37" w14:textId="77777777" w:rsidR="005F3C1A" w:rsidRDefault="005F3C1A"/>
    <w:sectPr w:rsidR="005F3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32"/>
    <w:rsid w:val="00575232"/>
    <w:rsid w:val="005F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8AAA1"/>
  <w15:chartTrackingRefBased/>
  <w15:docId w15:val="{AEBCE5AD-F8BA-49DA-BEF1-164B54AF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7523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52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UF-Ouaga-Bids@unice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Matete Samson Balekembaka</dc:creator>
  <cp:keywords/>
  <dc:description/>
  <cp:lastModifiedBy>Matete Samson Balekembaka</cp:lastModifiedBy>
  <cp:revision>1</cp:revision>
  <dcterms:created xsi:type="dcterms:W3CDTF">2021-01-06T14:32:00Z</dcterms:created>
  <dcterms:modified xsi:type="dcterms:W3CDTF">2021-01-06T14:35:00Z</dcterms:modified>
</cp:coreProperties>
</file>