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23FCB" w14:textId="77777777" w:rsidR="00346CC0" w:rsidRDefault="00B945CC">
      <w:pPr>
        <w:pStyle w:val="Heading1"/>
      </w:pPr>
      <w:bookmarkStart w:id="0" w:name="_1pb0pmi7sb7e" w:colFirst="0" w:colLast="0"/>
      <w:bookmarkEnd w:id="0"/>
      <w:r>
        <w:t>Sección III: Lista de requerimientos</w:t>
      </w:r>
    </w:p>
    <w:p w14:paraId="6AB5F688" w14:textId="77777777" w:rsidR="00346CC0" w:rsidRDefault="00B945CC" w:rsidP="00ED5D5E">
      <w:pPr>
        <w:pStyle w:val="Heading2"/>
        <w:ind w:left="0"/>
      </w:pPr>
      <w:bookmarkStart w:id="1" w:name="_n3k93uoppzd0" w:colFirst="0" w:colLast="0"/>
      <w:bookmarkEnd w:id="1"/>
      <w:r>
        <w:t xml:space="preserve">1. </w:t>
      </w:r>
      <w:r>
        <w:t>Especificaciones técnicas, cantidades y plan de entregas</w:t>
      </w:r>
    </w:p>
    <w:p w14:paraId="61BFAA8D" w14:textId="77777777" w:rsidR="00346CC0" w:rsidRDefault="00B945CC">
      <w:r>
        <w:t xml:space="preserve">Para conocer los medicamentos requeridos en la presente licitación, debe referirse al documento </w:t>
      </w:r>
      <w:r>
        <w:rPr>
          <w:i/>
        </w:rPr>
        <w:t xml:space="preserve">MED03.02 </w:t>
      </w:r>
      <w:proofErr w:type="spellStart"/>
      <w:r>
        <w:rPr>
          <w:i/>
        </w:rPr>
        <w:t>Seccion</w:t>
      </w:r>
      <w:proofErr w:type="spellEnd"/>
      <w:r>
        <w:rPr>
          <w:i/>
        </w:rPr>
        <w:t xml:space="preserve"> III - Lista de requerimientos</w:t>
      </w:r>
      <w:r>
        <w:t>.</w:t>
      </w:r>
    </w:p>
    <w:p w14:paraId="10FED9B0" w14:textId="77777777" w:rsidR="00346CC0" w:rsidRDefault="00B945CC" w:rsidP="00ED5D5E">
      <w:pPr>
        <w:pStyle w:val="Heading2"/>
        <w:ind w:left="0"/>
      </w:pPr>
      <w:bookmarkStart w:id="2" w:name="_7h0sn2tnism3" w:colFirst="0" w:colLast="0"/>
      <w:bookmarkEnd w:id="2"/>
      <w:r>
        <w:t>2. Requerimientos generales</w:t>
      </w:r>
    </w:p>
    <w:p w14:paraId="1BF1EF16" w14:textId="77777777" w:rsidR="00346CC0" w:rsidRDefault="00B945CC">
      <w:pPr>
        <w:pStyle w:val="Heading3"/>
      </w:pPr>
      <w:bookmarkStart w:id="3" w:name="_j92q6n3f9m2h" w:colFirst="0" w:colLast="0"/>
      <w:bookmarkEnd w:id="3"/>
      <w:r>
        <w:t>2.1. Fecha de expiración de los productos</w:t>
      </w:r>
    </w:p>
    <w:p w14:paraId="2B6DD0AC" w14:textId="77777777" w:rsidR="00346CC0" w:rsidRDefault="00B945CC">
      <w:pPr>
        <w:rPr>
          <w:highlight w:val="white"/>
        </w:rPr>
      </w:pPr>
      <w:r>
        <w:rPr>
          <w:highlight w:val="white"/>
        </w:rPr>
        <w:t>Los productos deberán tener la siguiente v</w:t>
      </w:r>
      <w:r>
        <w:rPr>
          <w:highlight w:val="white"/>
        </w:rPr>
        <w:t>igencia al momento de la entrega:</w:t>
      </w:r>
    </w:p>
    <w:p w14:paraId="2EEB1A5F" w14:textId="77777777" w:rsidR="00346CC0" w:rsidRDefault="00B945CC">
      <w:pPr>
        <w:numPr>
          <w:ilvl w:val="0"/>
          <w:numId w:val="2"/>
        </w:numPr>
        <w:spacing w:after="0"/>
      </w:pPr>
      <w:r>
        <w:t xml:space="preserve">En general, no menor de 12 meses contabilizados a partir desde su ingreso a los puntos de entrega indicados en la Orden de Compra por UNOPS; </w:t>
      </w:r>
    </w:p>
    <w:p w14:paraId="0C5F77B8" w14:textId="77777777" w:rsidR="00346CC0" w:rsidRDefault="00B945CC">
      <w:pPr>
        <w:numPr>
          <w:ilvl w:val="0"/>
          <w:numId w:val="2"/>
        </w:numPr>
        <w:spacing w:before="0" w:after="0"/>
      </w:pPr>
      <w:r>
        <w:t xml:space="preserve">En aquellos medicamentos que, por su naturaleza, tengan un período de caducidad </w:t>
      </w:r>
      <w:r>
        <w:t>menor a 12 (doce) meses, deberán acreditar con el registro sanitario otorgado, que los bienes tienen una vida útil menor a partir de su fecha de fabricación, debiendo presentar de manera invariable carta de compromiso de reemplazo en la cual se obligue a c</w:t>
      </w:r>
      <w:r>
        <w:t>anjear dentro de 15 días naturales contados a partir de la notificación para realizar el canje de los bienes, sin costo alguno para UNOPS, aquellos Bienes que no sean consumidos dentro de su vida útil;</w:t>
      </w:r>
    </w:p>
    <w:p w14:paraId="45809314" w14:textId="77777777" w:rsidR="00346CC0" w:rsidRDefault="00B945CC">
      <w:pPr>
        <w:numPr>
          <w:ilvl w:val="0"/>
          <w:numId w:val="2"/>
        </w:numPr>
        <w:spacing w:before="0"/>
      </w:pPr>
      <w:r>
        <w:t xml:space="preserve">Si por algún motivo, se presenta desabastecimiento en </w:t>
      </w:r>
      <w:r>
        <w:t xml:space="preserve">el mercado del producto, se aceptarán productos con una fecha inferior a las especificados anteriormente, efectuando previamente un análisis de riesgo. </w:t>
      </w:r>
    </w:p>
    <w:p w14:paraId="709739CF" w14:textId="77777777" w:rsidR="00346CC0" w:rsidRDefault="00B945CC">
      <w:pPr>
        <w:jc w:val="both"/>
      </w:pPr>
      <w:r>
        <w:t xml:space="preserve">Excepcionalmente, UNOPS podrá autorizar la entrega de productos con vida útil </w:t>
      </w:r>
      <w:r>
        <w:rPr>
          <w:highlight w:val="white"/>
        </w:rPr>
        <w:t xml:space="preserve">menor a 12 (doce) </w:t>
      </w:r>
      <w:proofErr w:type="gramStart"/>
      <w:r>
        <w:rPr>
          <w:highlight w:val="white"/>
        </w:rPr>
        <w:t>meses</w:t>
      </w:r>
      <w:proofErr w:type="gramEnd"/>
      <w:r>
        <w:rPr>
          <w:highlight w:val="white"/>
        </w:rPr>
        <w:t xml:space="preserve"> p</w:t>
      </w:r>
      <w:r>
        <w:rPr>
          <w:highlight w:val="white"/>
        </w:rPr>
        <w:t xml:space="preserve">ero no inferior a 9 (nueve) meses contabilizados a partir de su ingreso a los puntos de entrega indicados en la Orden de Compra. </w:t>
      </w:r>
      <w:r>
        <w:t xml:space="preserve">En dicha oportunidad el Proveedor deberá presentar una </w:t>
      </w:r>
      <w:r>
        <w:rPr>
          <w:highlight w:val="white"/>
        </w:rPr>
        <w:t>carta de compromiso de reemplazo</w:t>
      </w:r>
      <w:r>
        <w:t>, de acuerdo con el Formulario adjunto d</w:t>
      </w:r>
      <w:r>
        <w:t xml:space="preserve">e la </w:t>
      </w:r>
      <w:r>
        <w:rPr>
          <w:i/>
        </w:rPr>
        <w:t>Sección VI: Gestión Contractual</w:t>
      </w:r>
      <w:r>
        <w:t>, en la cual indique el/los lotes a ser entregados, la vida útil al momento de la entrega, los lugares de entrega y cantidades que correspondan.</w:t>
      </w:r>
    </w:p>
    <w:p w14:paraId="7491A857" w14:textId="77777777" w:rsidR="00346CC0" w:rsidRDefault="00B945CC">
      <w:pPr>
        <w:jc w:val="both"/>
      </w:pPr>
      <w:r>
        <w:t xml:space="preserve">En estos casos excepcionales, el Proveedor deberá reemplazar los productos </w:t>
      </w:r>
      <w:r>
        <w:t xml:space="preserve">que expiren o que estén próximos a vencerse a criterio de INSABI reemplazándolos con productos que se ajusten a todos los requisitos establecidos para la clave adjudicada y que cumplan con la vida útil mínima estipulada en el pliego. </w:t>
      </w:r>
    </w:p>
    <w:p w14:paraId="12F41269" w14:textId="77777777" w:rsidR="00346CC0" w:rsidRDefault="00B945CC">
      <w:pPr>
        <w:pStyle w:val="Heading3"/>
      </w:pPr>
      <w:bookmarkStart w:id="4" w:name="_msq8y1mh81wo" w:colFirst="0" w:colLast="0"/>
      <w:bookmarkEnd w:id="4"/>
      <w:r>
        <w:t xml:space="preserve">2.2. Correspondencia </w:t>
      </w:r>
      <w:r>
        <w:t xml:space="preserve">de los productos </w:t>
      </w:r>
    </w:p>
    <w:p w14:paraId="387302EA" w14:textId="77777777" w:rsidR="00346CC0" w:rsidRDefault="00B945CC">
      <w:r>
        <w:t>Los bienes deberán corresponder exactamente al/los principio/s activo/s expresando la concentración en forma de Base y Sal, si ésta se especifica, forma farmacéutica, vía de administración, presentación requeridas para cada producto.</w:t>
      </w:r>
    </w:p>
    <w:p w14:paraId="2F438A66" w14:textId="77777777" w:rsidR="00346CC0" w:rsidRDefault="00B945CC">
      <w:r>
        <w:t>La c</w:t>
      </w:r>
      <w:r>
        <w:t>orrespondencia del bien se verificará en:</w:t>
      </w:r>
    </w:p>
    <w:p w14:paraId="4D213828" w14:textId="77777777" w:rsidR="00346CC0" w:rsidRDefault="00B945CC">
      <w:pPr>
        <w:numPr>
          <w:ilvl w:val="0"/>
          <w:numId w:val="3"/>
        </w:numPr>
        <w:spacing w:after="0"/>
      </w:pPr>
      <w:r>
        <w:t>El Registro Sanitario;</w:t>
      </w:r>
    </w:p>
    <w:p w14:paraId="0E742CDA" w14:textId="77777777" w:rsidR="00346CC0" w:rsidRDefault="00B945CC">
      <w:pPr>
        <w:numPr>
          <w:ilvl w:val="0"/>
          <w:numId w:val="3"/>
        </w:numPr>
        <w:spacing w:before="0"/>
      </w:pPr>
      <w:r>
        <w:t>En el caso de que la descripción del bien ofertado no se encuentre completamente detallada en el Registro Sanitario se verificará la Información para Prescribir Reducida (IPP-R) y/o marbete (</w:t>
      </w:r>
      <w:r>
        <w:t>artes finales y Fotografía o modelo final de diseño del etiquetado del envase primario y secundario).</w:t>
      </w:r>
    </w:p>
    <w:p w14:paraId="19E96444" w14:textId="77777777" w:rsidR="00346CC0" w:rsidRDefault="00B945CC">
      <w:pPr>
        <w:pStyle w:val="Heading3"/>
      </w:pPr>
      <w:r>
        <w:t>2.3. Características de los Materiales (Empaque / envase)</w:t>
      </w:r>
    </w:p>
    <w:p w14:paraId="29B8399B" w14:textId="77777777" w:rsidR="00346CC0" w:rsidRDefault="00B945CC">
      <w:pPr>
        <w:pStyle w:val="Heading4"/>
      </w:pPr>
      <w:r>
        <w:t>2.3.1. Primario</w:t>
      </w:r>
      <w:r>
        <w:rPr>
          <w:vertAlign w:val="superscript"/>
        </w:rPr>
        <w:footnoteReference w:id="1"/>
      </w:r>
    </w:p>
    <w:tbl>
      <w:tblPr>
        <w:tblStyle w:val="a"/>
        <w:tblW w:w="10070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20" w:firstRow="1" w:lastRow="0" w:firstColumn="0" w:lastColumn="0" w:noHBand="0" w:noVBand="1"/>
      </w:tblPr>
      <w:tblGrid>
        <w:gridCol w:w="2413"/>
        <w:gridCol w:w="7657"/>
      </w:tblGrid>
      <w:tr w:rsidR="00346CC0" w14:paraId="473E385A" w14:textId="77777777" w:rsidTr="00346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2413" w:type="dxa"/>
            <w:shd w:val="clear" w:color="auto" w:fill="auto"/>
          </w:tcPr>
          <w:p w14:paraId="1B86ABEE" w14:textId="77777777" w:rsidR="00346CC0" w:rsidRDefault="00B945CC">
            <w:pPr>
              <w:spacing w:before="0" w:after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Característica o tipo</w:t>
            </w:r>
          </w:p>
        </w:tc>
        <w:tc>
          <w:tcPr>
            <w:tcW w:w="7657" w:type="dxa"/>
            <w:shd w:val="clear" w:color="auto" w:fill="auto"/>
          </w:tcPr>
          <w:p w14:paraId="187E7AEB" w14:textId="77777777" w:rsidR="00346CC0" w:rsidRDefault="00B945CC">
            <w:pPr>
              <w:spacing w:before="0" w:after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Descripción</w:t>
            </w:r>
          </w:p>
        </w:tc>
      </w:tr>
      <w:tr w:rsidR="00346CC0" w14:paraId="05CEF2BF" w14:textId="77777777" w:rsidTr="00346CC0">
        <w:trPr>
          <w:trHeight w:val="20"/>
        </w:trPr>
        <w:tc>
          <w:tcPr>
            <w:tcW w:w="2413" w:type="dxa"/>
            <w:shd w:val="clear" w:color="auto" w:fill="auto"/>
          </w:tcPr>
          <w:p w14:paraId="3904AA44" w14:textId="77777777" w:rsidR="00346CC0" w:rsidRDefault="00B945CC">
            <w:pPr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General</w:t>
            </w:r>
          </w:p>
        </w:tc>
        <w:tc>
          <w:tcPr>
            <w:tcW w:w="7657" w:type="dxa"/>
            <w:shd w:val="clear" w:color="auto" w:fill="auto"/>
          </w:tcPr>
          <w:p w14:paraId="0304B6D1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Debe ser inerte, debe aislar y proteger a medicamentos sensibles a factores ambientales (luz, temperatura y humedad) hasta su fecha de vencimiento.</w:t>
            </w:r>
          </w:p>
          <w:p w14:paraId="66E627AC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Los materiales del envase primarios de los productos intermedios o el fármaco no deben ser reactivos, aditiv</w:t>
            </w:r>
            <w:r>
              <w:rPr>
                <w:rFonts w:ascii="Arial" w:eastAsia="Arial" w:hAnsi="Arial" w:cs="Arial"/>
                <w:sz w:val="20"/>
                <w:szCs w:val="20"/>
              </w:rPr>
              <w:t>os, absorbentes, adsorbentes, de tal manera que puedan afectar la calidad de éstos (Norma Oficial Mexicana NOM-164-SSA1-2013, Buenas prácticas de fabricación para fármacos 10.5.2).</w:t>
            </w:r>
          </w:p>
          <w:p w14:paraId="268CD0B9" w14:textId="77777777" w:rsidR="00346CC0" w:rsidRDefault="00346CC0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3300E85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 características físicas, químicas y de toxicidad para cada tipo de mat</w:t>
            </w:r>
            <w:r>
              <w:rPr>
                <w:rFonts w:ascii="Arial" w:eastAsia="Arial" w:hAnsi="Arial" w:cs="Arial"/>
                <w:sz w:val="20"/>
                <w:szCs w:val="20"/>
              </w:rPr>
              <w:t>erial de envase y de las substancias que se utilicen para recubrir interiormente los envases de los medicamentos serán determinadas por la Norma correspondiente (Reglamento de Insumos para la Salud, sección segunda, artículo 18).</w:t>
            </w:r>
          </w:p>
          <w:p w14:paraId="65A9B877" w14:textId="77777777" w:rsidR="00346CC0" w:rsidRDefault="00346CC0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B169742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Los envases de los medica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mentos deberán contar con sistemas de cierre, que hagan evidente al usuario que no han sido abiertos previamente a su adquisición y que prevengan la manipulación accidental por parte de los niños, según se establezca en la Farmacopea de los Estados Unidos </w:t>
            </w:r>
            <w:r>
              <w:rPr>
                <w:rFonts w:ascii="Arial" w:eastAsia="Arial" w:hAnsi="Arial" w:cs="Arial"/>
                <w:sz w:val="20"/>
                <w:szCs w:val="20"/>
              </w:rPr>
              <w:t>Mexicanos o en la Norma correspondiente (Reglamento de Insumos para la Salud, sección segunda, artículo 21).</w:t>
            </w:r>
          </w:p>
          <w:p w14:paraId="6CB58A47" w14:textId="77777777" w:rsidR="00346CC0" w:rsidRDefault="00346CC0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B86B4B1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los envases para insumos en aerosol sólo se utilizarán como propelentes las substancias o productos autorizados por la Secretaría (Reglamento d</w:t>
            </w:r>
            <w:r>
              <w:rPr>
                <w:rFonts w:ascii="Arial" w:eastAsia="Arial" w:hAnsi="Arial" w:cs="Arial"/>
                <w:sz w:val="20"/>
                <w:szCs w:val="20"/>
              </w:rPr>
              <w:t>e Insumos para la Salud, sección segunda, artículo 22)</w:t>
            </w:r>
          </w:p>
          <w:p w14:paraId="49CE972F" w14:textId="77777777" w:rsidR="00346CC0" w:rsidRDefault="00346CC0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8AB859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Los envases de los medicamentos deberán contar con sistemas de control microbiológico, donde el criterio de aceptación se establezca en la Farmacopea de los Estados Unidos Mexicanos o farmacopea de re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ferencia. </w:t>
            </w:r>
          </w:p>
        </w:tc>
      </w:tr>
      <w:tr w:rsidR="00346CC0" w14:paraId="4E9D2A8B" w14:textId="77777777" w:rsidTr="00346CC0">
        <w:trPr>
          <w:trHeight w:val="20"/>
        </w:trPr>
        <w:tc>
          <w:tcPr>
            <w:tcW w:w="2413" w:type="dxa"/>
            <w:shd w:val="clear" w:color="auto" w:fill="auto"/>
          </w:tcPr>
          <w:p w14:paraId="6F4336A4" w14:textId="77777777" w:rsidR="00346CC0" w:rsidRDefault="00B945CC">
            <w:pPr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Medicamentos que requieren envase primario protegido de la luz</w:t>
            </w:r>
          </w:p>
        </w:tc>
        <w:tc>
          <w:tcPr>
            <w:tcW w:w="7657" w:type="dxa"/>
            <w:shd w:val="clear" w:color="auto" w:fill="auto"/>
          </w:tcPr>
          <w:p w14:paraId="009426B2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Se debe entender que esté fabricado con condiciones que eviten la degradación del principio activo y envasado en un material que no permita el paso de la luz o esté empacado en una </w:t>
            </w:r>
            <w:r>
              <w:rPr>
                <w:rFonts w:ascii="Arial" w:eastAsia="Arial" w:hAnsi="Arial" w:cs="Arial"/>
                <w:sz w:val="20"/>
                <w:szCs w:val="20"/>
              </w:rPr>
              <w:t>caja individual, garantizando la estabilidad del producto.</w:t>
            </w:r>
          </w:p>
        </w:tc>
      </w:tr>
      <w:tr w:rsidR="00346CC0" w14:paraId="53A95686" w14:textId="77777777" w:rsidTr="00346CC0">
        <w:trPr>
          <w:trHeight w:val="20"/>
        </w:trPr>
        <w:tc>
          <w:tcPr>
            <w:tcW w:w="2413" w:type="dxa"/>
            <w:shd w:val="clear" w:color="auto" w:fill="auto"/>
          </w:tcPr>
          <w:p w14:paraId="7E75F2F5" w14:textId="77777777" w:rsidR="00346CC0" w:rsidRDefault="00B945CC">
            <w:pPr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Productos en formas farmacéuticas líquidas</w:t>
            </w:r>
          </w:p>
        </w:tc>
        <w:tc>
          <w:tcPr>
            <w:tcW w:w="7657" w:type="dxa"/>
            <w:shd w:val="clear" w:color="auto" w:fill="auto"/>
          </w:tcPr>
          <w:p w14:paraId="0DF68BDB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 soluciones, suspensiones, jarabes, etc.; deberán ser envasadas en frascos de plástico o de vidrio que ofrezcan protección contra la luz, dotados con tapa de plástico y con cierre de seguridad.</w:t>
            </w:r>
          </w:p>
          <w:p w14:paraId="466004EF" w14:textId="77777777" w:rsidR="00346CC0" w:rsidRDefault="00346CC0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CAA1D63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Los líquidos que requieran gotero deberán presentarse en 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rasco gotero o con tapón gotero. </w:t>
            </w:r>
          </w:p>
          <w:p w14:paraId="553653A1" w14:textId="77777777" w:rsidR="00346CC0" w:rsidRDefault="00346CC0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0331A49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 de uso oftalmológico deben envasarse en frasco gotero plástico no reactivo con tapa de seguridad del tipo que se desprende al abrirlo.</w:t>
            </w:r>
          </w:p>
          <w:p w14:paraId="63843158" w14:textId="77777777" w:rsidR="00346CC0" w:rsidRDefault="00346CC0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165DA1A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Los frascos que contienen polvos para inyección deben tener sello y tapón de seguridad y si acompañan el solvente deben indicarlo.</w:t>
            </w:r>
          </w:p>
          <w:p w14:paraId="1B6D0F2F" w14:textId="77777777" w:rsidR="00346CC0" w:rsidRDefault="00346CC0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1EC3B97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Los polvos para reconstitución oral, en los frascos debe indicar la escala de volumen a reconstituir para realizar el prepar</w:t>
            </w:r>
            <w:r>
              <w:rPr>
                <w:rFonts w:ascii="Arial" w:eastAsia="Arial" w:hAnsi="Arial" w:cs="Arial"/>
                <w:sz w:val="20"/>
                <w:szCs w:val="20"/>
              </w:rPr>
              <w:t>ado e indicar el volumen de solvente a utilizar.</w:t>
            </w:r>
          </w:p>
          <w:p w14:paraId="1EB6EE91" w14:textId="77777777" w:rsidR="00346CC0" w:rsidRDefault="00346CC0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AEAFAED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Los envases primarios cuyas presentaciones sean frascos, deberán tener sello de seguridad de plástico o metal y en el caso de los secundarios (cajas, blíster o frasco), deberán tener los sellos de alta segu</w:t>
            </w:r>
            <w:r>
              <w:rPr>
                <w:rFonts w:ascii="Arial" w:eastAsia="Arial" w:hAnsi="Arial" w:cs="Arial"/>
                <w:sz w:val="20"/>
                <w:szCs w:val="20"/>
              </w:rPr>
              <w:t>ridad ya descritos de la etiqueta principal.</w:t>
            </w:r>
          </w:p>
        </w:tc>
      </w:tr>
      <w:tr w:rsidR="00346CC0" w14:paraId="67D0D77E" w14:textId="77777777" w:rsidTr="00346CC0">
        <w:trPr>
          <w:trHeight w:val="20"/>
        </w:trPr>
        <w:tc>
          <w:tcPr>
            <w:tcW w:w="2413" w:type="dxa"/>
            <w:shd w:val="clear" w:color="auto" w:fill="auto"/>
          </w:tcPr>
          <w:p w14:paraId="22693969" w14:textId="77777777" w:rsidR="00346CC0" w:rsidRDefault="00B945CC">
            <w:pPr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Productos en formas farmacéuticas semisólidas</w:t>
            </w:r>
          </w:p>
        </w:tc>
        <w:tc>
          <w:tcPr>
            <w:tcW w:w="7657" w:type="dxa"/>
            <w:shd w:val="clear" w:color="auto" w:fill="auto"/>
          </w:tcPr>
          <w:p w14:paraId="39CC25BF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Pomadas, ungüentos, cremas, gel, deberán ser envasados en tubo de plástico o metal, sin deformaciones, ya que éstas dan lugar a rupturas o grietas del envase; con t</w:t>
            </w:r>
            <w:r>
              <w:rPr>
                <w:rFonts w:ascii="Arial" w:eastAsia="Arial" w:hAnsi="Arial" w:cs="Arial"/>
                <w:sz w:val="20"/>
                <w:szCs w:val="20"/>
              </w:rPr>
              <w:t>apa de seguridad de manera que al enroscar la tapa se perfore el sello hermético del tubo.</w:t>
            </w:r>
          </w:p>
        </w:tc>
      </w:tr>
      <w:tr w:rsidR="00346CC0" w14:paraId="2186CC0B" w14:textId="77777777" w:rsidTr="00346CC0">
        <w:trPr>
          <w:trHeight w:val="20"/>
        </w:trPr>
        <w:tc>
          <w:tcPr>
            <w:tcW w:w="2413" w:type="dxa"/>
            <w:shd w:val="clear" w:color="auto" w:fill="auto"/>
          </w:tcPr>
          <w:p w14:paraId="51E7E513" w14:textId="77777777" w:rsidR="00346CC0" w:rsidRDefault="00B945CC">
            <w:pPr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Productos en formas farmacéuticas semisólidas en tarro</w:t>
            </w:r>
          </w:p>
        </w:tc>
        <w:tc>
          <w:tcPr>
            <w:tcW w:w="7657" w:type="dxa"/>
            <w:shd w:val="clear" w:color="auto" w:fill="auto"/>
          </w:tcPr>
          <w:p w14:paraId="484BDDBF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Deberán ser envasadas en recipientes de plástico o vidrio de boca ancha, con sello de aluminio adherido a la </w:t>
            </w:r>
            <w:r>
              <w:rPr>
                <w:rFonts w:ascii="Arial" w:eastAsia="Arial" w:hAnsi="Arial" w:cs="Arial"/>
                <w:sz w:val="20"/>
                <w:szCs w:val="20"/>
              </w:rPr>
              <w:t>boca del tarro y que la tapa exterior sea de plástico.</w:t>
            </w:r>
          </w:p>
        </w:tc>
      </w:tr>
      <w:tr w:rsidR="00346CC0" w14:paraId="700C6B63" w14:textId="77777777" w:rsidTr="00346CC0">
        <w:trPr>
          <w:trHeight w:val="20"/>
        </w:trPr>
        <w:tc>
          <w:tcPr>
            <w:tcW w:w="2413" w:type="dxa"/>
            <w:shd w:val="clear" w:color="auto" w:fill="auto"/>
          </w:tcPr>
          <w:p w14:paraId="4B4E8BCD" w14:textId="77777777" w:rsidR="00346CC0" w:rsidRDefault="00B945CC">
            <w:pPr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Productos líquidos para uso parenteral</w:t>
            </w:r>
          </w:p>
        </w:tc>
        <w:tc>
          <w:tcPr>
            <w:tcW w:w="7657" w:type="dxa"/>
            <w:shd w:val="clear" w:color="auto" w:fill="auto"/>
          </w:tcPr>
          <w:p w14:paraId="1F560E18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 ampollas deberán tener bien clara la marca para poder abrirla. pueden ser de material de vidrio o plástico, de acuerdo alas estudios de estabilidad del producto</w:t>
            </w:r>
          </w:p>
          <w:p w14:paraId="4367614C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 preparaciones inyectables con presentación en bolsas deberán estar constituidas por plá</w:t>
            </w:r>
            <w:r>
              <w:rPr>
                <w:rFonts w:ascii="Arial" w:eastAsia="Arial" w:hAnsi="Arial" w:cs="Arial"/>
                <w:sz w:val="20"/>
                <w:szCs w:val="20"/>
              </w:rPr>
              <w:t>stico resistente, no reactivo, con escala de volumen y con dispositivo que permita la conexión de catéter, así como el respectivo colgante para insertarlo fácilmente en un soporte de forma que se facilite su administración intravenosa (I.V.).</w:t>
            </w:r>
          </w:p>
        </w:tc>
      </w:tr>
      <w:tr w:rsidR="00346CC0" w14:paraId="7FF65EF5" w14:textId="77777777" w:rsidTr="00346CC0">
        <w:trPr>
          <w:trHeight w:val="20"/>
        </w:trPr>
        <w:tc>
          <w:tcPr>
            <w:tcW w:w="2413" w:type="dxa"/>
            <w:shd w:val="clear" w:color="auto" w:fill="auto"/>
          </w:tcPr>
          <w:p w14:paraId="27809972" w14:textId="77777777" w:rsidR="00346CC0" w:rsidRDefault="00B945CC">
            <w:pPr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Productos an</w:t>
            </w:r>
            <w:r>
              <w:rPr>
                <w:rFonts w:ascii="Arial" w:eastAsia="Arial" w:hAnsi="Arial" w:cs="Arial"/>
                <w:sz w:val="20"/>
                <w:szCs w:val="20"/>
              </w:rPr>
              <w:t>estésicos de uso odontológico</w:t>
            </w:r>
          </w:p>
        </w:tc>
        <w:tc>
          <w:tcPr>
            <w:tcW w:w="7657" w:type="dxa"/>
            <w:shd w:val="clear" w:color="auto" w:fill="auto"/>
          </w:tcPr>
          <w:p w14:paraId="0B8B7439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Deberán ser envasados en cartucho o tubito de vidrio y/o plástico no reactivo los cuales deberán ser colocados en un envase secundario de metal o plástico y deben contar con un sello de seguridad.</w:t>
            </w:r>
          </w:p>
        </w:tc>
      </w:tr>
      <w:tr w:rsidR="00346CC0" w14:paraId="2B385F90" w14:textId="77777777" w:rsidTr="00346CC0">
        <w:trPr>
          <w:trHeight w:val="20"/>
        </w:trPr>
        <w:tc>
          <w:tcPr>
            <w:tcW w:w="2413" w:type="dxa"/>
            <w:shd w:val="clear" w:color="auto" w:fill="auto"/>
          </w:tcPr>
          <w:p w14:paraId="29A5DC4F" w14:textId="77777777" w:rsidR="00346CC0" w:rsidRDefault="00B945CC">
            <w:pPr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Formas farmacéuticas sólidas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/ Productos en blíster</w:t>
            </w:r>
          </w:p>
        </w:tc>
        <w:tc>
          <w:tcPr>
            <w:tcW w:w="7657" w:type="dxa"/>
            <w:shd w:val="clear" w:color="auto" w:fill="auto"/>
          </w:tcPr>
          <w:p w14:paraId="5B018D8D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Tabletas, cápsulas.</w:t>
            </w:r>
          </w:p>
          <w:p w14:paraId="65A045AB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Deberán ser empacados utilizando películas de PVC / PVDC (Cloruro de Polivinilo con Cloruro de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Polivinilideno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), ámbar o transparente según el diseño y sensibilidad del principio activo.</w:t>
            </w:r>
          </w:p>
          <w:p w14:paraId="509D9D18" w14:textId="77777777" w:rsidR="00346CC0" w:rsidRDefault="00346CC0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9A071BE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 características físic</w:t>
            </w:r>
            <w:r>
              <w:rPr>
                <w:rFonts w:ascii="Arial" w:eastAsia="Arial" w:hAnsi="Arial" w:cs="Arial"/>
                <w:sz w:val="20"/>
                <w:szCs w:val="20"/>
              </w:rPr>
              <w:t>as que permita diferenciarse individualizado, mediante el color del blíster y/o tira, o el color de la tinta (blíster ámbar o cualquier empaque unitario equivalente con protección a la luz).</w:t>
            </w:r>
          </w:p>
        </w:tc>
      </w:tr>
      <w:tr w:rsidR="00346CC0" w14:paraId="1F891FA7" w14:textId="77777777" w:rsidTr="00346CC0">
        <w:trPr>
          <w:trHeight w:val="20"/>
        </w:trPr>
        <w:tc>
          <w:tcPr>
            <w:tcW w:w="2413" w:type="dxa"/>
            <w:shd w:val="clear" w:color="auto" w:fill="auto"/>
          </w:tcPr>
          <w:p w14:paraId="2CB6F37A" w14:textId="77777777" w:rsidR="00346CC0" w:rsidRDefault="00B945CC">
            <w:pPr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Productos que se especifiquen en tiras de papel de aluminio</w:t>
            </w:r>
          </w:p>
        </w:tc>
        <w:tc>
          <w:tcPr>
            <w:tcW w:w="7657" w:type="dxa"/>
            <w:shd w:val="clear" w:color="auto" w:fill="auto"/>
          </w:tcPr>
          <w:p w14:paraId="01A752D6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p</w:t>
            </w:r>
            <w:r>
              <w:rPr>
                <w:rFonts w:ascii="Arial" w:eastAsia="Arial" w:hAnsi="Arial" w:cs="Arial"/>
                <w:sz w:val="20"/>
                <w:szCs w:val="20"/>
              </w:rPr>
              <w:t>apel aluminio es por ambos lados.</w:t>
            </w:r>
          </w:p>
          <w:p w14:paraId="0B21821C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 características físicas que permita diferenciarse individualizado, mediante el color del blíster y/o tira, o el color de la tinta (blíster ámbar o cualquier empaque unitario equivalente con protección a la luz).</w:t>
            </w:r>
          </w:p>
        </w:tc>
      </w:tr>
      <w:tr w:rsidR="00346CC0" w14:paraId="119F081A" w14:textId="77777777" w:rsidTr="00346CC0">
        <w:trPr>
          <w:trHeight w:val="20"/>
        </w:trPr>
        <w:tc>
          <w:tcPr>
            <w:tcW w:w="2413" w:type="dxa"/>
            <w:shd w:val="clear" w:color="auto" w:fill="auto"/>
          </w:tcPr>
          <w:p w14:paraId="6A90007A" w14:textId="77777777" w:rsidR="00346CC0" w:rsidRDefault="00B945CC">
            <w:pPr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Productos oftalmológicos</w:t>
            </w:r>
          </w:p>
        </w:tc>
        <w:tc>
          <w:tcPr>
            <w:tcW w:w="7657" w:type="dxa"/>
            <w:shd w:val="clear" w:color="auto" w:fill="auto"/>
          </w:tcPr>
          <w:p w14:paraId="316F305C" w14:textId="77777777" w:rsidR="00346CC0" w:rsidRDefault="00B945CC">
            <w:pPr>
              <w:spacing w:before="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Deberán ser envasados en frasco de plástico con sello de plástico adherido, el cual se desprende al abrirlo.</w:t>
            </w:r>
          </w:p>
        </w:tc>
      </w:tr>
    </w:tbl>
    <w:p w14:paraId="1D067649" w14:textId="77777777" w:rsidR="00346CC0" w:rsidRDefault="00B945CC">
      <w:pPr>
        <w:pStyle w:val="Heading4"/>
      </w:pPr>
      <w:r>
        <w:t>2.4.2. Envase Secundario</w:t>
      </w:r>
      <w:r>
        <w:rPr>
          <w:vertAlign w:val="superscript"/>
        </w:rPr>
        <w:footnoteReference w:id="2"/>
      </w:r>
    </w:p>
    <w:p w14:paraId="1BF481C6" w14:textId="77777777" w:rsidR="00346CC0" w:rsidRDefault="00B945CC">
      <w:pPr>
        <w:jc w:val="both"/>
      </w:pPr>
      <w:r>
        <w:t>El envase secundario debe ser resistente que permita la protección necesaria del envase primar</w:t>
      </w:r>
      <w:r>
        <w:t>io (no se aceptará por ejemplo empaque tipo cartulina o bolsa plástica).</w:t>
      </w:r>
    </w:p>
    <w:p w14:paraId="0E2345B3" w14:textId="77777777" w:rsidR="00346CC0" w:rsidRDefault="00B945CC">
      <w:pPr>
        <w:widowControl/>
        <w:spacing w:before="0" w:after="0"/>
        <w:jc w:val="both"/>
      </w:pPr>
      <w:r>
        <w:t>Se aceptará el uso de materiales que aseguren las condiciones requeridas de resistencia del empaque secundario para la manipulación del medicamento.</w:t>
      </w:r>
    </w:p>
    <w:p w14:paraId="7A35A36A" w14:textId="77777777" w:rsidR="00346CC0" w:rsidRDefault="00B945CC">
      <w:pPr>
        <w:jc w:val="both"/>
      </w:pPr>
      <w:r>
        <w:t>Todas las cajas deberán tener el m</w:t>
      </w:r>
      <w:r>
        <w:t>ismo número de frascos y las indicaciones de su manejo.</w:t>
      </w:r>
    </w:p>
    <w:p w14:paraId="76CB0CF8" w14:textId="77777777" w:rsidR="00346CC0" w:rsidRDefault="00B945CC">
      <w:pPr>
        <w:jc w:val="both"/>
      </w:pPr>
      <w:r>
        <w:t>Se requiere que en los envases secundarios presenten inserto, prospecto o instructivo del producto en idioma español o traducción simple al español.</w:t>
      </w:r>
    </w:p>
    <w:p w14:paraId="66BD82D9" w14:textId="77777777" w:rsidR="00346CC0" w:rsidRDefault="00B945CC">
      <w:pPr>
        <w:widowControl/>
        <w:spacing w:before="0" w:after="0" w:line="276" w:lineRule="auto"/>
        <w:jc w:val="both"/>
        <w:rPr>
          <w:sz w:val="22"/>
          <w:szCs w:val="22"/>
          <w:highlight w:val="yellow"/>
        </w:rPr>
      </w:pPr>
      <w:r>
        <w:rPr>
          <w:highlight w:val="white"/>
        </w:rPr>
        <w:t>Si durante el proceso contractual, se generan modif</w:t>
      </w:r>
      <w:r>
        <w:rPr>
          <w:highlight w:val="white"/>
        </w:rPr>
        <w:t xml:space="preserve">icaciones en las artes de material de envase, el laboratorio se encuentra en la obligación de notificar a UNOPS este cambio y describir la fecha en la cual el producto tendrá reflejado los nuevos artes. De forma adicional se debe adjuntar la certificación </w:t>
      </w:r>
      <w:r>
        <w:rPr>
          <w:highlight w:val="white"/>
        </w:rPr>
        <w:t>de autorización de cambio emitido por la entidad regulatoria local, que avala el cambio.</w:t>
      </w:r>
    </w:p>
    <w:p w14:paraId="0F51A94F" w14:textId="77777777" w:rsidR="00346CC0" w:rsidRDefault="00B945CC">
      <w:pPr>
        <w:pStyle w:val="Heading4"/>
      </w:pPr>
      <w:bookmarkStart w:id="5" w:name="_4mm3bd8t4qvb" w:colFirst="0" w:colLast="0"/>
      <w:bookmarkEnd w:id="5"/>
      <w:r>
        <w:t>2.4.3. Envase Colectivo o Terciario</w:t>
      </w:r>
      <w:r>
        <w:rPr>
          <w:vertAlign w:val="superscript"/>
        </w:rPr>
        <w:footnoteReference w:id="3"/>
      </w:r>
    </w:p>
    <w:p w14:paraId="4AD8F372" w14:textId="77777777" w:rsidR="00346CC0" w:rsidRDefault="00B945CC">
      <w:r>
        <w:t>Es responsabilidad del proveedor la definición de la estiba y de las cantidades que contiene un envase terciario por la seguridad, conservación, manipulación y adecuado almacenamiento del producto. El cual debe cumplir con las siguientes especificaciones:</w:t>
      </w:r>
    </w:p>
    <w:p w14:paraId="00003BA7" w14:textId="77777777" w:rsidR="00346CC0" w:rsidRDefault="00B945CC">
      <w:pPr>
        <w:numPr>
          <w:ilvl w:val="0"/>
          <w:numId w:val="1"/>
        </w:numPr>
        <w:spacing w:after="0"/>
      </w:pPr>
      <w:r>
        <w:t>Caja de cartón u otro material resistente a la estiba (no se aceptará por ejemplo empaque tipo cartulina, ni cartoncillo); de tal forma que facilite la manipulación, transporte y almacenamiento, sin riesgo de daño, sellado con cinta que garanticen la integ</w:t>
      </w:r>
      <w:r>
        <w:t xml:space="preserve">ridad del contenido, conservación, transporte y almacenamiento; </w:t>
      </w:r>
    </w:p>
    <w:p w14:paraId="23FD23FA" w14:textId="77777777" w:rsidR="00346CC0" w:rsidRDefault="00B945CC">
      <w:pPr>
        <w:numPr>
          <w:ilvl w:val="0"/>
          <w:numId w:val="1"/>
        </w:numPr>
        <w:spacing w:before="0" w:after="0"/>
      </w:pPr>
      <w:r>
        <w:t>El material de acondicionamiento de los frascos para cajas y subdivisiones internas debe ser lo suficientemente resistente (cartón grueso);</w:t>
      </w:r>
    </w:p>
    <w:p w14:paraId="4159EB0A" w14:textId="77777777" w:rsidR="00346CC0" w:rsidRDefault="00B945CC">
      <w:pPr>
        <w:numPr>
          <w:ilvl w:val="0"/>
          <w:numId w:val="1"/>
        </w:numPr>
        <w:spacing w:before="0" w:after="0"/>
      </w:pPr>
      <w:r>
        <w:lastRenderedPageBreak/>
        <w:t>Especificar el número de cajas que contiene el empa</w:t>
      </w:r>
      <w:r>
        <w:t>que terciario;</w:t>
      </w:r>
    </w:p>
    <w:p w14:paraId="319AAF42" w14:textId="77777777" w:rsidR="00346CC0" w:rsidRDefault="00B945CC">
      <w:pPr>
        <w:numPr>
          <w:ilvl w:val="0"/>
          <w:numId w:val="1"/>
        </w:numPr>
        <w:spacing w:before="0" w:after="0"/>
      </w:pPr>
      <w:r>
        <w:t>Especificar la cantidad de cajas que se pueden estibar una encima de otra por tarima;</w:t>
      </w:r>
    </w:p>
    <w:p w14:paraId="16423B8A" w14:textId="77777777" w:rsidR="00346CC0" w:rsidRDefault="00B945CC">
      <w:pPr>
        <w:numPr>
          <w:ilvl w:val="0"/>
          <w:numId w:val="1"/>
        </w:numPr>
        <w:spacing w:before="0" w:after="0"/>
      </w:pPr>
      <w:r>
        <w:t>El tamaño del empaque debe ser congruente con el contenido;</w:t>
      </w:r>
    </w:p>
    <w:p w14:paraId="05F2D854" w14:textId="77777777" w:rsidR="00346CC0" w:rsidRDefault="00B945CC">
      <w:pPr>
        <w:numPr>
          <w:ilvl w:val="0"/>
          <w:numId w:val="1"/>
        </w:numPr>
        <w:spacing w:before="0"/>
      </w:pPr>
      <w:r>
        <w:t xml:space="preserve">En caso de saldos (complementos) debe identificar claramente la caja que lo contenga. embalaje </w:t>
      </w:r>
      <w:r>
        <w:t>u otros recursos necesarios.</w:t>
      </w:r>
    </w:p>
    <w:p w14:paraId="5061D506" w14:textId="77777777" w:rsidR="00346CC0" w:rsidRDefault="00B945CC">
      <w:pPr>
        <w:pStyle w:val="Heading3"/>
      </w:pPr>
      <w:bookmarkStart w:id="6" w:name="_xgotm3dynj7d" w:colFirst="0" w:colLast="0"/>
      <w:bookmarkEnd w:id="6"/>
      <w:r>
        <w:t>2.5. Etiquetado</w:t>
      </w:r>
    </w:p>
    <w:p w14:paraId="54361E18" w14:textId="77777777" w:rsidR="00346CC0" w:rsidRDefault="00B945CC">
      <w:pPr>
        <w:pStyle w:val="Heading4"/>
      </w:pPr>
      <w:bookmarkStart w:id="7" w:name="_pg0m8fxqaajn" w:colFirst="0" w:colLast="0"/>
      <w:bookmarkEnd w:id="7"/>
      <w:r>
        <w:t>2.5.1. Generalidades</w:t>
      </w:r>
    </w:p>
    <w:p w14:paraId="3B2D7388" w14:textId="77777777" w:rsidR="00346CC0" w:rsidRDefault="00B945CC">
      <w:pPr>
        <w:jc w:val="both"/>
      </w:pPr>
      <w:r>
        <w:t xml:space="preserve">Se entiende por etiqueta, a cualquier marbete, rótulo, marca o imagen gráfica que se haya escrito, impreso, estarcido, marcado, marcado en relieve o en hueco, grabado, adherido o precintado </w:t>
      </w:r>
      <w:r>
        <w:t xml:space="preserve">en cualquier material susceptible de contener el medicamento o remedio herbolario incluyendo el envase mismo. </w:t>
      </w:r>
    </w:p>
    <w:p w14:paraId="59B60910" w14:textId="77777777" w:rsidR="00346CC0" w:rsidRDefault="00B945CC">
      <w:pPr>
        <w:jc w:val="both"/>
      </w:pPr>
      <w:r>
        <w:t>Para los medicamentos con registro sanitario, los instructivos y las etiquetas de los envases primarios, secundarios y colectivos, así como los i</w:t>
      </w:r>
      <w:r>
        <w:t>nstructivos deberán estar en idioma español o traducción simple en idioma español y acogerse a lo reglamentado en la NOM-072-SSA1-2012.</w:t>
      </w:r>
    </w:p>
    <w:p w14:paraId="378690CA" w14:textId="77777777" w:rsidR="00346CC0" w:rsidRDefault="00B945CC">
      <w:pPr>
        <w:jc w:val="both"/>
      </w:pPr>
      <w:r>
        <w:t xml:space="preserve">Para los medicamentos amparados en el Acuerdo del 28 de enero 2020, hasta el otorgamiento del registro sanitario por la </w:t>
      </w:r>
      <w:r>
        <w:t>COFEPRIS, los instructivos y las etiquetas de los envases primarios, secundarios y colectivos, así como los instructivos podrán estar en idioma inglés o traducción simple al español y mantener el envase primario y secundario del lugar de origen.</w:t>
      </w:r>
    </w:p>
    <w:p w14:paraId="406D7764" w14:textId="77777777" w:rsidR="00346CC0" w:rsidRDefault="00B945CC">
      <w:pPr>
        <w:pStyle w:val="Heading4"/>
      </w:pPr>
      <w:bookmarkStart w:id="8" w:name="_ywd3ze5x0fdy" w:colFirst="0" w:colLast="0"/>
      <w:bookmarkEnd w:id="8"/>
      <w:r>
        <w:t>2.5.2. Eti</w:t>
      </w:r>
      <w:r>
        <w:t>quetado del envase primario, envase secundario y envase colectivo</w:t>
      </w:r>
    </w:p>
    <w:p w14:paraId="428A0148" w14:textId="77777777" w:rsidR="00346CC0" w:rsidRDefault="00B945CC">
      <w:r>
        <w:t xml:space="preserve">Los medicamentos deberán contener en los envases primarios, secundarios y colectivos la siguiente leyenda: “Propiedad del Sector Salud, queda prohibida su venta”. </w:t>
      </w:r>
    </w:p>
    <w:p w14:paraId="43600BB6" w14:textId="77777777" w:rsidR="00346CC0" w:rsidRDefault="00B945CC">
      <w:r>
        <w:t>El etiquetado de los envas</w:t>
      </w:r>
      <w:r>
        <w:t>es primarios deberá contener contra etiquetas sin cubrir leyendas originales, indicando la clave del bien a 12 dígitos en el caso de medicamentos, en apego a lo establecido en la NOM-072-SSA1-2012.</w:t>
      </w:r>
    </w:p>
    <w:p w14:paraId="56AE15D0" w14:textId="77777777" w:rsidR="00346CC0" w:rsidRDefault="00B945CC">
      <w:pPr>
        <w:rPr>
          <w:rFonts w:ascii="Roboto" w:eastAsia="Roboto" w:hAnsi="Roboto" w:cs="Roboto"/>
          <w:color w:val="202124"/>
          <w:highlight w:val="white"/>
        </w:rPr>
      </w:pPr>
      <w:r>
        <w:t xml:space="preserve">Todo medicamento deberá tener etiqueta en español con los </w:t>
      </w:r>
      <w:r>
        <w:t>siguientes datos:</w:t>
      </w:r>
    </w:p>
    <w:tbl>
      <w:tblPr>
        <w:tblStyle w:val="a0"/>
        <w:tblW w:w="10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50"/>
        <w:gridCol w:w="3630"/>
      </w:tblGrid>
      <w:tr w:rsidR="00346CC0" w14:paraId="45A24594" w14:textId="77777777">
        <w:trPr>
          <w:trHeight w:val="199"/>
        </w:trPr>
        <w:tc>
          <w:tcPr>
            <w:tcW w:w="10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BE73" w14:textId="77777777" w:rsidR="00346CC0" w:rsidRDefault="00B945CC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Condiciones Generales de etiquetado </w:t>
            </w:r>
          </w:p>
        </w:tc>
      </w:tr>
      <w:tr w:rsidR="00346CC0" w14:paraId="48B29B46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405B8" w14:textId="77777777" w:rsidR="00346CC0" w:rsidRDefault="00B945CC">
            <w:pPr>
              <w:spacing w:before="0" w:after="0"/>
            </w:pPr>
            <w:r>
              <w:t>Cumplimiento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C6493" w14:textId="77777777" w:rsidR="00346CC0" w:rsidRDefault="00B945CC">
            <w:pPr>
              <w:spacing w:before="0" w:after="0"/>
              <w:jc w:val="center"/>
            </w:pPr>
            <w:r>
              <w:t>Marco jurídico aplicable</w:t>
            </w:r>
          </w:p>
          <w:p w14:paraId="285B1147" w14:textId="77777777" w:rsidR="00346CC0" w:rsidRDefault="00B945CC">
            <w:pPr>
              <w:spacing w:before="0" w:after="0"/>
              <w:jc w:val="center"/>
            </w:pPr>
            <w:r>
              <w:t>NOM-072-SSA1-2012.</w:t>
            </w:r>
          </w:p>
        </w:tc>
      </w:tr>
      <w:tr w:rsidR="00346CC0" w14:paraId="6E62E732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950A" w14:textId="77777777" w:rsidR="00346CC0" w:rsidRDefault="00B945CC">
            <w:pPr>
              <w:spacing w:before="0" w:after="0"/>
            </w:pPr>
            <w:r>
              <w:t>Denominación distintiva o marca comercial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547B" w14:textId="77777777" w:rsidR="00346CC0" w:rsidRDefault="00B945CC">
            <w:pPr>
              <w:spacing w:before="0" w:after="0"/>
              <w:jc w:val="center"/>
            </w:pPr>
            <w:r>
              <w:t>Numeral 5.1, 5.21.1, 5.27.1</w:t>
            </w:r>
          </w:p>
        </w:tc>
      </w:tr>
      <w:tr w:rsidR="00346CC0" w14:paraId="0CBEBC2B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C5462" w14:textId="77777777" w:rsidR="00346CC0" w:rsidRDefault="00B945CC">
            <w:pPr>
              <w:spacing w:before="0" w:after="0"/>
            </w:pPr>
            <w:r>
              <w:t>Denominación genérica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311C" w14:textId="77777777" w:rsidR="00346CC0" w:rsidRDefault="00B945CC">
            <w:pPr>
              <w:spacing w:before="0" w:after="0"/>
              <w:jc w:val="center"/>
            </w:pPr>
            <w:r>
              <w:t>Numeral 5.2, 5.21.2, 5.27.2</w:t>
            </w:r>
          </w:p>
        </w:tc>
      </w:tr>
      <w:tr w:rsidR="00346CC0" w14:paraId="3E984EE8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56B8F" w14:textId="77777777" w:rsidR="00346CC0" w:rsidRDefault="00B945CC">
            <w:pPr>
              <w:spacing w:before="0" w:after="0"/>
            </w:pPr>
            <w:r>
              <w:t>Forma farmacéutica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FE51" w14:textId="77777777" w:rsidR="00346CC0" w:rsidRDefault="00B945CC">
            <w:pPr>
              <w:spacing w:before="0" w:after="0"/>
              <w:jc w:val="center"/>
            </w:pPr>
            <w:r>
              <w:t>Numeral 5.4, 5.21.3, 5.27.3</w:t>
            </w:r>
          </w:p>
        </w:tc>
      </w:tr>
      <w:tr w:rsidR="00346CC0" w14:paraId="22F9A6BF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F94A" w14:textId="77777777" w:rsidR="00346CC0" w:rsidRDefault="00B945CC">
            <w:pPr>
              <w:spacing w:before="0" w:after="0"/>
            </w:pPr>
            <w:r>
              <w:t>Concentración del fármaco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37202" w14:textId="77777777" w:rsidR="00346CC0" w:rsidRDefault="00B945CC">
            <w:pPr>
              <w:spacing w:before="0" w:after="0"/>
              <w:jc w:val="center"/>
            </w:pPr>
            <w:r>
              <w:t>Numeral 5.5 – 5.5.1, 5.21.4</w:t>
            </w:r>
          </w:p>
        </w:tc>
      </w:tr>
      <w:tr w:rsidR="00346CC0" w14:paraId="41BE1274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EB611" w14:textId="77777777" w:rsidR="00346CC0" w:rsidRDefault="00B945CC">
            <w:pPr>
              <w:spacing w:before="0" w:after="0"/>
            </w:pPr>
            <w:r>
              <w:t xml:space="preserve">Fórmula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B8B5C" w14:textId="77777777" w:rsidR="00346CC0" w:rsidRDefault="00B945CC">
            <w:pPr>
              <w:spacing w:before="0" w:after="0"/>
              <w:jc w:val="center"/>
            </w:pPr>
            <w:r>
              <w:t>Numeral 5.7 - 5.7.9, 5.21.8</w:t>
            </w:r>
          </w:p>
        </w:tc>
      </w:tr>
      <w:tr w:rsidR="00346CC0" w14:paraId="52FB2420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6B14D" w14:textId="77777777" w:rsidR="00346CC0" w:rsidRDefault="00B945CC">
            <w:pPr>
              <w:spacing w:before="0" w:after="0"/>
            </w:pPr>
            <w:r>
              <w:t>Declaración de la fórmula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A38C" w14:textId="77777777" w:rsidR="00346CC0" w:rsidRDefault="00B945CC">
            <w:pPr>
              <w:spacing w:before="0" w:after="0"/>
              <w:jc w:val="center"/>
            </w:pPr>
            <w:r>
              <w:t>Numeral 5.8 - 5.8.5.1</w:t>
            </w:r>
          </w:p>
        </w:tc>
      </w:tr>
      <w:tr w:rsidR="00346CC0" w14:paraId="51EF7033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5B98B" w14:textId="77777777" w:rsidR="00346CC0" w:rsidRDefault="00B945CC">
            <w:pPr>
              <w:spacing w:before="0" w:after="0"/>
            </w:pPr>
            <w:r>
              <w:t>Dosis o posología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BBBC5" w14:textId="77777777" w:rsidR="00346CC0" w:rsidRDefault="00B945CC">
            <w:pPr>
              <w:spacing w:before="0" w:after="0"/>
              <w:jc w:val="center"/>
            </w:pPr>
            <w:r>
              <w:t>Numeral 5.9</w:t>
            </w:r>
          </w:p>
        </w:tc>
      </w:tr>
      <w:tr w:rsidR="00346CC0" w14:paraId="10D122DD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02346" w14:textId="77777777" w:rsidR="00346CC0" w:rsidRDefault="00B945CC">
            <w:pPr>
              <w:spacing w:before="0" w:after="0"/>
            </w:pPr>
            <w:r>
              <w:t>Vía de administración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630F6" w14:textId="77777777" w:rsidR="00346CC0" w:rsidRDefault="00B945CC">
            <w:pPr>
              <w:spacing w:before="0" w:after="0"/>
              <w:jc w:val="center"/>
            </w:pPr>
            <w:r>
              <w:t>Numeral 5.10 – 5.10.2.12, 5.21.9</w:t>
            </w:r>
          </w:p>
        </w:tc>
      </w:tr>
      <w:tr w:rsidR="00346CC0" w14:paraId="1E493BE1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3356D" w14:textId="77777777" w:rsidR="00346CC0" w:rsidRDefault="00B945CC">
            <w:pPr>
              <w:spacing w:before="0" w:after="0"/>
            </w:pPr>
            <w:r>
              <w:t>Datos de conservación y almacenaje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578D4" w14:textId="77777777" w:rsidR="00346CC0" w:rsidRDefault="00B945CC">
            <w:pPr>
              <w:spacing w:before="0" w:after="0"/>
              <w:jc w:val="center"/>
            </w:pPr>
            <w:r>
              <w:t>Numeral 5.11 – 5.12.7, 5.27.8</w:t>
            </w:r>
          </w:p>
        </w:tc>
      </w:tr>
      <w:tr w:rsidR="00346CC0" w14:paraId="77F06376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D890" w14:textId="77777777" w:rsidR="00346CC0" w:rsidRDefault="00B945CC">
            <w:pPr>
              <w:spacing w:before="0" w:after="0"/>
            </w:pPr>
            <w:r>
              <w:t>Expresión de la clave alfanumérica del Registro Sanitario.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30480" w14:textId="77777777" w:rsidR="00346CC0" w:rsidRDefault="00B945CC">
            <w:pPr>
              <w:spacing w:before="0" w:after="0"/>
              <w:jc w:val="center"/>
            </w:pPr>
            <w:r>
              <w:t>Numeral 5.13 - 5.13.3, 5.27.9</w:t>
            </w:r>
          </w:p>
        </w:tc>
      </w:tr>
      <w:tr w:rsidR="00346CC0" w14:paraId="57C65DB9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49236" w14:textId="77777777" w:rsidR="00346CC0" w:rsidRDefault="00B945CC">
            <w:pPr>
              <w:spacing w:before="0" w:after="0"/>
            </w:pPr>
            <w:r>
              <w:t>Número de lote.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14A3" w14:textId="77777777" w:rsidR="00346CC0" w:rsidRDefault="00B945CC">
            <w:pPr>
              <w:spacing w:before="0" w:after="0"/>
              <w:jc w:val="center"/>
            </w:pPr>
            <w:r>
              <w:t>Numeral 5.14, 5.27.6</w:t>
            </w:r>
          </w:p>
        </w:tc>
      </w:tr>
      <w:tr w:rsidR="00346CC0" w14:paraId="2653D093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65800" w14:textId="77777777" w:rsidR="00346CC0" w:rsidRDefault="00B945CC">
            <w:pPr>
              <w:spacing w:before="0" w:after="0"/>
            </w:pPr>
            <w:r>
              <w:t>Fecha de caducidad.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AE805" w14:textId="77777777" w:rsidR="00346CC0" w:rsidRDefault="00B945CC">
            <w:pPr>
              <w:spacing w:before="0" w:after="0"/>
              <w:jc w:val="center"/>
            </w:pPr>
            <w:r>
              <w:t>Numeral 5.15 - 5.15.1, 5.27.7</w:t>
            </w:r>
          </w:p>
        </w:tc>
      </w:tr>
      <w:tr w:rsidR="00346CC0" w14:paraId="0B9C75BB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5930" w14:textId="77777777" w:rsidR="00346CC0" w:rsidRDefault="00B945CC">
            <w:pPr>
              <w:spacing w:before="0" w:after="0"/>
            </w:pPr>
            <w:r>
              <w:t>Fecha de fabricación.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B72B5" w14:textId="77777777" w:rsidR="00346CC0" w:rsidRDefault="00B945CC">
            <w:pPr>
              <w:spacing w:before="0" w:after="0"/>
              <w:jc w:val="center"/>
            </w:pPr>
            <w:r>
              <w:t>Numeral 5.16 - 5.16.1</w:t>
            </w:r>
          </w:p>
        </w:tc>
      </w:tr>
      <w:tr w:rsidR="00346CC0" w14:paraId="1275BEA4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D3099" w14:textId="77777777" w:rsidR="00346CC0" w:rsidRDefault="00B945CC">
            <w:pPr>
              <w:spacing w:before="0" w:after="0"/>
            </w:pPr>
            <w:r>
              <w:t>Datos del fabricante, comercializador, titular del registro y en su caso representante legal en México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E10C1" w14:textId="77777777" w:rsidR="00346CC0" w:rsidRDefault="00B945CC">
            <w:pPr>
              <w:spacing w:before="0" w:after="0"/>
              <w:jc w:val="center"/>
            </w:pPr>
            <w:r>
              <w:t>Numeral 5.17 - 5.17.2.10.3, 5.27.10</w:t>
            </w:r>
          </w:p>
        </w:tc>
      </w:tr>
      <w:tr w:rsidR="00346CC0" w14:paraId="7326BB3F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F5D3D" w14:textId="77777777" w:rsidR="00346CC0" w:rsidRDefault="00B945CC">
            <w:pPr>
              <w:spacing w:before="0" w:after="0"/>
            </w:pPr>
            <w:r>
              <w:t>Contenido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8C7D3" w14:textId="77777777" w:rsidR="00346CC0" w:rsidRDefault="00B945CC">
            <w:pPr>
              <w:spacing w:before="0" w:after="0"/>
              <w:jc w:val="center"/>
            </w:pPr>
            <w:r>
              <w:t>Numeral 5.18, 5.21.7, 5.27.5</w:t>
            </w:r>
          </w:p>
        </w:tc>
      </w:tr>
      <w:tr w:rsidR="00346CC0" w14:paraId="7CB906C1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58AC" w14:textId="77777777" w:rsidR="00346CC0" w:rsidRDefault="00B945CC">
            <w:pPr>
              <w:spacing w:before="0" w:after="0"/>
            </w:pPr>
            <w:r>
              <w:t>Cuando la información se exprese en otro idioma además del español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890D5" w14:textId="77777777" w:rsidR="00346CC0" w:rsidRDefault="00B945CC">
            <w:pPr>
              <w:spacing w:before="0" w:after="0"/>
              <w:jc w:val="center"/>
            </w:pPr>
            <w:r>
              <w:t>Numeral 5</w:t>
            </w:r>
            <w:r>
              <w:t>.29</w:t>
            </w:r>
          </w:p>
        </w:tc>
      </w:tr>
      <w:tr w:rsidR="00346CC0" w14:paraId="7F00CE6D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0FF9" w14:textId="77777777" w:rsidR="00346CC0" w:rsidRDefault="00B945CC">
            <w:pPr>
              <w:spacing w:before="0" w:after="0"/>
            </w:pPr>
            <w:r>
              <w:t>En ningún caso, se podrá sobre etiquetar la información original.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2B905" w14:textId="77777777" w:rsidR="00346CC0" w:rsidRDefault="00B945CC">
            <w:pPr>
              <w:spacing w:before="0" w:after="0"/>
              <w:jc w:val="center"/>
            </w:pPr>
            <w:r>
              <w:t>Numeral 5.30</w:t>
            </w:r>
          </w:p>
        </w:tc>
      </w:tr>
      <w:tr w:rsidR="00346CC0" w14:paraId="1D3A7425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C3517" w14:textId="77777777" w:rsidR="00346CC0" w:rsidRDefault="00B945CC">
            <w:pPr>
              <w:spacing w:before="0" w:after="0"/>
            </w:pPr>
            <w:r>
              <w:t>Consideraciones de uso, si aplica.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D992F" w14:textId="77777777" w:rsidR="00346CC0" w:rsidRDefault="00B945CC">
            <w:pPr>
              <w:spacing w:before="0" w:after="0"/>
              <w:jc w:val="center"/>
            </w:pPr>
            <w:r>
              <w:t>Numeral 5.21.5</w:t>
            </w:r>
          </w:p>
        </w:tc>
      </w:tr>
      <w:tr w:rsidR="00346CC0" w14:paraId="0D7A4D90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681A3" w14:textId="77777777" w:rsidR="00346CC0" w:rsidRDefault="00B945CC">
            <w:pPr>
              <w:spacing w:before="0" w:after="0"/>
            </w:pPr>
            <w:r>
              <w:t>Presentación específica, cuando proceda.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82E05" w14:textId="77777777" w:rsidR="00346CC0" w:rsidRDefault="00B945CC">
            <w:pPr>
              <w:spacing w:before="0" w:after="0"/>
              <w:jc w:val="center"/>
            </w:pPr>
            <w:r>
              <w:t>Numeral 5.21.6</w:t>
            </w:r>
          </w:p>
        </w:tc>
      </w:tr>
      <w:tr w:rsidR="00346CC0" w14:paraId="52EB4434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E3553" w14:textId="77777777" w:rsidR="00346CC0" w:rsidRDefault="00B945CC">
            <w:pPr>
              <w:spacing w:before="0" w:after="0"/>
            </w:pPr>
            <w:r>
              <w:t>Número de piezas por empaque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08AD7" w14:textId="77777777" w:rsidR="00346CC0" w:rsidRDefault="00B945CC">
            <w:pPr>
              <w:spacing w:before="0" w:after="0"/>
              <w:jc w:val="center"/>
            </w:pPr>
            <w:r>
              <w:t xml:space="preserve">Numeral 5.27.4 </w:t>
            </w:r>
          </w:p>
        </w:tc>
      </w:tr>
      <w:tr w:rsidR="00346CC0" w14:paraId="29804B54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46086" w14:textId="77777777" w:rsidR="00346CC0" w:rsidRDefault="00B945CC">
            <w:pPr>
              <w:spacing w:before="0" w:after="0"/>
            </w:pPr>
            <w:r>
              <w:t xml:space="preserve">Los medicamentos aplicados al sector salud podrán incluir en la etiqueta la clave o descripción del Cuadro Básico y Catálogo de Insumos del </w:t>
            </w:r>
            <w:r>
              <w:lastRenderedPageBreak/>
              <w:t>Sector Salud correspondiente a medicamentos, así como la leyenda "prohibida su venta" o "propiedad del Sector Salud"</w:t>
            </w:r>
            <w:r>
              <w:t xml:space="preserve"> sin que requiera de autorización por parte de la Secretaría de Salud y deberán apegarse a las disposiciones aplicables.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7C229" w14:textId="77777777" w:rsidR="00346CC0" w:rsidRDefault="00B945CC">
            <w:pPr>
              <w:spacing w:before="0" w:after="0"/>
              <w:jc w:val="center"/>
            </w:pPr>
            <w:r>
              <w:lastRenderedPageBreak/>
              <w:t xml:space="preserve">Numeral 5.28 </w:t>
            </w:r>
          </w:p>
        </w:tc>
      </w:tr>
      <w:tr w:rsidR="00346CC0" w14:paraId="08509C66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A457" w14:textId="77777777" w:rsidR="00346CC0" w:rsidRDefault="00B945CC">
            <w:pPr>
              <w:spacing w:before="0" w:after="0"/>
            </w:pPr>
            <w:r>
              <w:t>Leyendas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7ABD" w14:textId="77777777" w:rsidR="00346CC0" w:rsidRDefault="00B945CC">
            <w:pPr>
              <w:spacing w:before="0" w:after="0"/>
              <w:jc w:val="center"/>
            </w:pPr>
            <w:r>
              <w:t xml:space="preserve">Numeral 6. - 6.1.6.3 </w:t>
            </w:r>
          </w:p>
        </w:tc>
      </w:tr>
      <w:tr w:rsidR="00346CC0" w14:paraId="269188CA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B2B9" w14:textId="77777777" w:rsidR="00346CC0" w:rsidRDefault="00B945CC">
            <w:pPr>
              <w:spacing w:before="0" w:after="0"/>
            </w:pPr>
            <w:r>
              <w:t>Instructivo, inserto o prospecto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1297E" w14:textId="77777777" w:rsidR="00346CC0" w:rsidRDefault="00B945CC">
            <w:pPr>
              <w:spacing w:before="0" w:after="0"/>
              <w:jc w:val="center"/>
            </w:pPr>
            <w:r>
              <w:t>Numeral 7. - 7.5.9</w:t>
            </w:r>
          </w:p>
        </w:tc>
      </w:tr>
      <w:tr w:rsidR="00346CC0" w14:paraId="0C6B07EA" w14:textId="77777777">
        <w:tc>
          <w:tcPr>
            <w:tcW w:w="10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961D5" w14:textId="77777777" w:rsidR="00346CC0" w:rsidRDefault="00B945CC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Condiciones especiales de etiquetad</w:t>
            </w:r>
            <w:r>
              <w:rPr>
                <w:b/>
              </w:rPr>
              <w:t>o</w:t>
            </w:r>
          </w:p>
        </w:tc>
      </w:tr>
      <w:tr w:rsidR="00346CC0" w14:paraId="1CCFD61C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B6631" w14:textId="77777777" w:rsidR="00346CC0" w:rsidRDefault="00B945CC">
            <w:pPr>
              <w:spacing w:before="0" w:after="0"/>
            </w:pPr>
            <w:r>
              <w:t>Etiquetado para envases primarios pequeños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1289" w14:textId="77777777" w:rsidR="00346CC0" w:rsidRDefault="00B945CC">
            <w:pPr>
              <w:spacing w:before="0" w:after="0"/>
              <w:jc w:val="center"/>
            </w:pPr>
            <w:r>
              <w:t xml:space="preserve">Numeral 5.24 - 5.24.9 </w:t>
            </w:r>
          </w:p>
        </w:tc>
      </w:tr>
      <w:tr w:rsidR="00346CC0" w14:paraId="448D49B5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5A1F6" w14:textId="77777777" w:rsidR="00346CC0" w:rsidRDefault="00B945CC">
            <w:pPr>
              <w:spacing w:before="0" w:after="0"/>
            </w:pPr>
            <w:r>
              <w:t xml:space="preserve">Etiquetado de los diluyentes en envases pequeños que forman parte de las presentaciones para reconstituir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3BE3" w14:textId="77777777" w:rsidR="00346CC0" w:rsidRDefault="00B945CC">
            <w:pPr>
              <w:spacing w:before="0" w:after="0"/>
              <w:jc w:val="center"/>
            </w:pPr>
            <w:r>
              <w:t xml:space="preserve">Numeral 5.24.10 - 5.24.10.5 </w:t>
            </w:r>
          </w:p>
        </w:tc>
      </w:tr>
      <w:tr w:rsidR="00346CC0" w14:paraId="524FA477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18136" w14:textId="77777777" w:rsidR="00346CC0" w:rsidRDefault="00B945CC">
            <w:pPr>
              <w:spacing w:before="0" w:after="0"/>
            </w:pPr>
            <w:r>
              <w:t xml:space="preserve">Medicamentos que se administran por vía parenteral y son considerados de alto riesgo por la Secretaría de Salud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6FA5E" w14:textId="77777777" w:rsidR="00346CC0" w:rsidRDefault="00B945CC">
            <w:pPr>
              <w:spacing w:before="0" w:after="0"/>
              <w:jc w:val="center"/>
            </w:pPr>
            <w:r>
              <w:t>Numera</w:t>
            </w:r>
            <w:r>
              <w:t xml:space="preserve">l 5.24.10.6 - 5.24.10.6.1 </w:t>
            </w:r>
          </w:p>
        </w:tc>
      </w:tr>
      <w:tr w:rsidR="00346CC0" w14:paraId="6F1509DD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54B89" w14:textId="77777777" w:rsidR="00346CC0" w:rsidRDefault="00B945CC">
            <w:pPr>
              <w:spacing w:before="0" w:after="0"/>
            </w:pPr>
            <w:r>
              <w:t>Ampolleta o frasco ámpula incoloro los textos deberán ser en color rojo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B810" w14:textId="77777777" w:rsidR="00346CC0" w:rsidRDefault="00B945CC">
            <w:pPr>
              <w:spacing w:before="0" w:after="0"/>
              <w:jc w:val="center"/>
            </w:pPr>
            <w:r>
              <w:t>Numeral 5.24.10.6.2</w:t>
            </w:r>
          </w:p>
        </w:tc>
      </w:tr>
      <w:tr w:rsidR="00346CC0" w14:paraId="6FE2444B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84B24" w14:textId="77777777" w:rsidR="00346CC0" w:rsidRDefault="00B945CC">
            <w:pPr>
              <w:spacing w:before="0" w:after="0"/>
            </w:pPr>
            <w:r>
              <w:t>Ampolleta o frasco ámpula ámbar los textos deberán expresarse en color blanco, si son grabados, o en rojo, si son etiquetas.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74E43" w14:textId="77777777" w:rsidR="00346CC0" w:rsidRDefault="00B945CC">
            <w:pPr>
              <w:spacing w:before="0" w:after="0"/>
              <w:jc w:val="center"/>
            </w:pPr>
            <w:r>
              <w:t>Numeral 5.24.10.6.3</w:t>
            </w:r>
          </w:p>
        </w:tc>
      </w:tr>
      <w:tr w:rsidR="00346CC0" w14:paraId="1C3779BF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D6EC" w14:textId="77777777" w:rsidR="00346CC0" w:rsidRDefault="00B945CC">
            <w:pPr>
              <w:spacing w:before="0" w:after="0"/>
            </w:pPr>
            <w:r>
              <w:t>Para el caso de los electrolitos concentrados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C084F" w14:textId="77777777" w:rsidR="00346CC0" w:rsidRDefault="00B945CC">
            <w:pPr>
              <w:spacing w:before="0" w:after="0"/>
              <w:jc w:val="center"/>
            </w:pPr>
            <w:r>
              <w:t>Numeral 5.24.10.6.5 - 5.24.10.6.5.6</w:t>
            </w:r>
          </w:p>
        </w:tc>
      </w:tr>
      <w:tr w:rsidR="00346CC0" w14:paraId="38A842F6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4CF6" w14:textId="77777777" w:rsidR="00346CC0" w:rsidRDefault="00B945CC">
            <w:pPr>
              <w:spacing w:before="0" w:after="0"/>
            </w:pPr>
            <w:r>
              <w:t>Ampolletas que contengan ag</w:t>
            </w:r>
            <w:r>
              <w:t>ua estéril para uso inyectable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33229" w14:textId="77777777" w:rsidR="00346CC0" w:rsidRDefault="00B945CC">
            <w:pPr>
              <w:spacing w:before="0" w:after="0"/>
              <w:jc w:val="center"/>
            </w:pPr>
            <w:r>
              <w:t xml:space="preserve">Numeral 5.24.11 - 5.24.13 </w:t>
            </w:r>
          </w:p>
        </w:tc>
      </w:tr>
      <w:tr w:rsidR="00346CC0" w14:paraId="24D8F822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D98C8" w14:textId="77777777" w:rsidR="00346CC0" w:rsidRDefault="00B945CC">
            <w:pPr>
              <w:spacing w:before="0" w:after="0"/>
            </w:pPr>
            <w:r>
              <w:t>En el caso de jeringa u otros dispositivos prellenados o precargados y empacados en envase de burbuja individual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FA16" w14:textId="77777777" w:rsidR="00346CC0" w:rsidRDefault="00B945CC">
            <w:pPr>
              <w:spacing w:before="0" w:after="0"/>
              <w:jc w:val="center"/>
            </w:pPr>
            <w:r>
              <w:t>Numeral 5.25</w:t>
            </w:r>
          </w:p>
        </w:tc>
      </w:tr>
      <w:tr w:rsidR="00346CC0" w14:paraId="5DC8BB92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F789" w14:textId="77777777" w:rsidR="00346CC0" w:rsidRDefault="00B945CC">
            <w:pPr>
              <w:spacing w:before="0" w:after="0"/>
            </w:pPr>
            <w:r>
              <w:t>Medicamentos biotecnológicos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C0BAD" w14:textId="77777777" w:rsidR="00346CC0" w:rsidRDefault="00B945CC">
            <w:pPr>
              <w:spacing w:before="0" w:after="0"/>
              <w:jc w:val="center"/>
            </w:pPr>
            <w:r>
              <w:t>Numeral 5.31 - 5.31.7.3</w:t>
            </w:r>
          </w:p>
        </w:tc>
      </w:tr>
      <w:tr w:rsidR="00346CC0" w14:paraId="785C4CD0" w14:textId="77777777"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0B411" w14:textId="77777777" w:rsidR="00346CC0" w:rsidRDefault="00B945CC">
            <w:pPr>
              <w:spacing w:before="0" w:after="0"/>
            </w:pPr>
            <w:r>
              <w:t>Información que deberá contener la etiqueta de medicamentos no parenterales clasificados como magistrales u oficinales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8DCD2" w14:textId="77777777" w:rsidR="00346CC0" w:rsidRDefault="00B945CC">
            <w:pPr>
              <w:spacing w:before="0" w:after="0"/>
              <w:jc w:val="center"/>
            </w:pPr>
            <w:r>
              <w:t>Numeral 8. - 8.8</w:t>
            </w:r>
          </w:p>
        </w:tc>
      </w:tr>
    </w:tbl>
    <w:p w14:paraId="07FBB064" w14:textId="77777777" w:rsidR="00346CC0" w:rsidRDefault="00B945CC" w:rsidP="00ED5D5E">
      <w:pPr>
        <w:pStyle w:val="Heading2"/>
        <w:ind w:left="0"/>
      </w:pPr>
      <w:bookmarkStart w:id="9" w:name="_lfrrpp3vyot8" w:colFirst="0" w:colLast="0"/>
      <w:bookmarkEnd w:id="9"/>
      <w:r>
        <w:t>3. Gestión contractual</w:t>
      </w:r>
    </w:p>
    <w:p w14:paraId="5DAAA44C" w14:textId="77777777" w:rsidR="00346CC0" w:rsidRDefault="00B945CC">
      <w:r>
        <w:t>Los requerimientos de Formalización del contrato, Programación de entre</w:t>
      </w:r>
      <w:r>
        <w:t xml:space="preserve">gas, Recepción de los bienes, Gestión de pago y Evaluación de desempeño del proveedor, favor referirse a la </w:t>
      </w:r>
      <w:r>
        <w:rPr>
          <w:i/>
        </w:rPr>
        <w:t>Sección VI: Gestión contractual</w:t>
      </w:r>
      <w:r>
        <w:t>.</w:t>
      </w:r>
    </w:p>
    <w:sectPr w:rsidR="00346CC0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080" w:bottom="1080" w:left="1080" w:header="576" w:footer="57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DD68C" w14:textId="77777777" w:rsidR="00B945CC" w:rsidRDefault="00B945CC">
      <w:pPr>
        <w:spacing w:before="0" w:after="0"/>
      </w:pPr>
      <w:r>
        <w:separator/>
      </w:r>
    </w:p>
  </w:endnote>
  <w:endnote w:type="continuationSeparator" w:id="0">
    <w:p w14:paraId="56473179" w14:textId="77777777" w:rsidR="00B945CC" w:rsidRDefault="00B945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32985C" w14:textId="77777777" w:rsidR="00346CC0" w:rsidRDefault="00B945C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Open Sans" w:eastAsia="Open Sans" w:hAnsi="Open Sans" w:cs="Open Sans"/>
        <w:color w:val="000000"/>
        <w:sz w:val="17"/>
        <w:szCs w:val="17"/>
      </w:rPr>
    </w:pPr>
    <w:r>
      <w:rPr>
        <w:rFonts w:ascii="Open Sans" w:eastAsia="Open Sans" w:hAnsi="Open Sans" w:cs="Open Sans"/>
        <w:color w:val="000000"/>
        <w:sz w:val="18"/>
        <w:szCs w:val="18"/>
      </w:rPr>
      <w:fldChar w:fldCharType="begin"/>
    </w:r>
    <w:r>
      <w:rPr>
        <w:rFonts w:ascii="Open Sans" w:eastAsia="Open Sans" w:hAnsi="Open Sans" w:cs="Open Sans"/>
        <w:color w:val="000000"/>
        <w:sz w:val="18"/>
        <w:szCs w:val="18"/>
      </w:rPr>
      <w:instrText>PAGE</w:instrText>
    </w:r>
    <w:r w:rsidR="00ED5D5E">
      <w:rPr>
        <w:rFonts w:ascii="Open Sans" w:eastAsia="Open Sans" w:hAnsi="Open Sans" w:cs="Open Sans"/>
        <w:color w:val="000000"/>
        <w:sz w:val="18"/>
        <w:szCs w:val="18"/>
      </w:rPr>
      <w:fldChar w:fldCharType="separate"/>
    </w:r>
    <w:r w:rsidR="00ED5D5E">
      <w:rPr>
        <w:rFonts w:ascii="Open Sans" w:eastAsia="Open Sans" w:hAnsi="Open Sans" w:cs="Open Sans"/>
        <w:noProof/>
        <w:color w:val="000000"/>
        <w:sz w:val="18"/>
        <w:szCs w:val="18"/>
      </w:rPr>
      <w:t>1</w:t>
    </w:r>
    <w:r>
      <w:rPr>
        <w:rFonts w:ascii="Open Sans" w:eastAsia="Open Sans" w:hAnsi="Open Sans" w:cs="Open Sans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88745" w14:textId="77777777" w:rsidR="00346CC0" w:rsidRDefault="00346C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76E89" w14:textId="77777777" w:rsidR="00B945CC" w:rsidRDefault="00B945CC">
      <w:pPr>
        <w:spacing w:before="0" w:after="0"/>
      </w:pPr>
      <w:r>
        <w:separator/>
      </w:r>
    </w:p>
  </w:footnote>
  <w:footnote w:type="continuationSeparator" w:id="0">
    <w:p w14:paraId="3340F5CF" w14:textId="77777777" w:rsidR="00B945CC" w:rsidRDefault="00B945CC">
      <w:pPr>
        <w:spacing w:before="0" w:after="0"/>
      </w:pPr>
      <w:r>
        <w:continuationSeparator/>
      </w:r>
    </w:p>
  </w:footnote>
  <w:footnote w:id="1">
    <w:p w14:paraId="2BB1E3F0" w14:textId="77777777" w:rsidR="00346CC0" w:rsidRDefault="00B945CC">
      <w:pPr>
        <w:spacing w:before="0" w:after="0"/>
        <w:rPr>
          <w:sz w:val="16"/>
          <w:szCs w:val="16"/>
          <w:vertAlign w:val="superscript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sz w:val="16"/>
          <w:szCs w:val="16"/>
        </w:rPr>
        <w:t>Envase primario, a los elementos del sistema contenedor-cierre que están en contacto directo con el medicamento o remedio herbolario. Fuente: Norma NOM-072-SSA1-2012.</w:t>
      </w:r>
    </w:p>
  </w:footnote>
  <w:footnote w:id="2">
    <w:p w14:paraId="628247F3" w14:textId="77777777" w:rsidR="00346CC0" w:rsidRDefault="00B945CC">
      <w:pPr>
        <w:spacing w:before="0" w:after="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>Envase secundario, a los componentes que forman parte del empaque en el cual se comerci</w:t>
      </w:r>
      <w:r>
        <w:rPr>
          <w:sz w:val="16"/>
          <w:szCs w:val="16"/>
        </w:rPr>
        <w:t>aliza o suministra el medicamento o remedio herbolario y no están en contacto directo con él. Fuente: Norma NOM-072-SSA1-2012.</w:t>
      </w:r>
    </w:p>
    <w:p w14:paraId="3B0F2658" w14:textId="77777777" w:rsidR="00346CC0" w:rsidRDefault="00346CC0">
      <w:pPr>
        <w:spacing w:before="0" w:after="0"/>
        <w:rPr>
          <w:sz w:val="14"/>
          <w:szCs w:val="14"/>
        </w:rPr>
      </w:pPr>
    </w:p>
  </w:footnote>
  <w:footnote w:id="3">
    <w:p w14:paraId="4F3EDB7B" w14:textId="77777777" w:rsidR="00346CC0" w:rsidRDefault="00B945CC">
      <w:pPr>
        <w:rPr>
          <w:sz w:val="16"/>
          <w:szCs w:val="16"/>
          <w:vertAlign w:val="superscript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sz w:val="16"/>
          <w:szCs w:val="16"/>
        </w:rPr>
        <w:t>Envase colectivo, al envase que contiene una cantidad definida de envases de producto terminado de un solo producto y del mism</w:t>
      </w:r>
      <w:r>
        <w:rPr>
          <w:sz w:val="16"/>
          <w:szCs w:val="16"/>
        </w:rPr>
        <w:t>o lote. Fuente: Norma NOM-072-SSA1-2012.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F5B96" w14:textId="77777777" w:rsidR="00346CC0" w:rsidRDefault="00B945CC">
    <w:pPr>
      <w:rPr>
        <w:highlight w:val="red"/>
      </w:rPr>
    </w:pPr>
    <w:r>
      <w:rPr>
        <w:noProof/>
      </w:rPr>
      <w:drawing>
        <wp:inline distT="0" distB="0" distL="0" distR="0" wp14:anchorId="2BE46082" wp14:editId="73572BD9">
          <wp:extent cx="1477645" cy="2159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1A51E" w14:textId="77777777" w:rsidR="00346CC0" w:rsidRDefault="00B945CC">
    <w:r>
      <w:rPr>
        <w:noProof/>
      </w:rPr>
      <w:drawing>
        <wp:inline distT="0" distB="0" distL="0" distR="0" wp14:anchorId="723A0EC1" wp14:editId="3854E3BF">
          <wp:extent cx="1477645" cy="2159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6A127C"/>
    <w:multiLevelType w:val="multilevel"/>
    <w:tmpl w:val="C526C4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A8E5D38"/>
    <w:multiLevelType w:val="multilevel"/>
    <w:tmpl w:val="FF1450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BC14F1E"/>
    <w:multiLevelType w:val="multilevel"/>
    <w:tmpl w:val="F822B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C0"/>
    <w:rsid w:val="00346CC0"/>
    <w:rsid w:val="00B945CC"/>
    <w:rsid w:val="00ED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398494"/>
  <w15:docId w15:val="{0116AC76-C8BC-41A9-8053-44DAAEAE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es-419" w:eastAsia="es-419" w:bidi="ar-SA"/>
      </w:rPr>
    </w:rPrDefault>
    <w:pPrDefault>
      <w:pPr>
        <w:widowControl w:val="0"/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/>
      <w:outlineLvl w:val="0"/>
    </w:pPr>
    <w:rPr>
      <w:b/>
      <w:color w:val="0092D1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pBdr>
        <w:bottom w:val="none" w:sz="0" w:space="0" w:color="000000"/>
      </w:pBdr>
      <w:spacing w:before="360"/>
      <w:ind w:left="720"/>
      <w:outlineLvl w:val="1"/>
    </w:pPr>
    <w:rPr>
      <w:b/>
      <w:smallCaps/>
      <w:sz w:val="30"/>
      <w:szCs w:val="30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widowControl/>
      <w:spacing w:before="360" w:after="240"/>
      <w:outlineLvl w:val="2"/>
    </w:pPr>
    <w:rPr>
      <w:b/>
      <w:color w:val="434343"/>
      <w:sz w:val="22"/>
      <w:szCs w:val="22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b/>
      <w:i/>
      <w:color w:val="4F81BD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i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40" w:after="240"/>
      <w:jc w:val="center"/>
    </w:pPr>
    <w:rPr>
      <w:b/>
      <w:sz w:val="44"/>
      <w:szCs w:val="44"/>
    </w:rPr>
  </w:style>
  <w:style w:type="paragraph" w:styleId="Subtitle">
    <w:name w:val="Subtitle"/>
    <w:basedOn w:val="Normal"/>
    <w:next w:val="Normal"/>
    <w:uiPriority w:val="11"/>
    <w:qFormat/>
    <w:pPr>
      <w:ind w:left="630" w:right="634"/>
      <w:jc w:val="center"/>
    </w:pPr>
    <w:rPr>
      <w:b/>
      <w:color w:val="666666"/>
      <w:sz w:val="28"/>
      <w:szCs w:val="28"/>
    </w:rPr>
  </w:style>
  <w:style w:type="table" w:customStyle="1" w:styleId="a">
    <w:basedOn w:val="TableNormal"/>
    <w:pPr>
      <w:jc w:val="center"/>
    </w:pPr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BF1DD"/>
      <w:vAlign w:val="center"/>
    </w:tc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2259</Words>
  <Characters>12428</Characters>
  <Application>Microsoft Office Word</Application>
  <DocSecurity>0</DocSecurity>
  <Lines>103</Lines>
  <Paragraphs>29</Paragraphs>
  <ScaleCrop>false</ScaleCrop>
  <Company/>
  <LinksUpToDate>false</LinksUpToDate>
  <CharactersWithSpaces>14658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José Segovia</cp:lastModifiedBy>
  <cp:revision>3</cp:revision>
  <dcterms:created xsi:type="dcterms:W3CDTF">2020-12-03T21:23:00Z</dcterms:created>
  <dcterms:modified xsi:type="dcterms:W3CDTF">2020-12-03T21:23:00Z</dcterms:modified>
</cp:coreProperties>
</file>