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F6D9" w14:textId="2CFB7BCC" w:rsidR="00880D28" w:rsidRPr="00244113" w:rsidRDefault="00880D28" w:rsidP="00300FCE">
      <w:pPr>
        <w:pStyle w:val="Headline"/>
        <w:spacing w:before="120" w:after="240"/>
        <w:rPr>
          <w:color w:val="0092D1"/>
        </w:rPr>
      </w:pPr>
      <w:r w:rsidRPr="00244113">
        <w:rPr>
          <w:color w:val="0092D1"/>
        </w:rPr>
        <w:t xml:space="preserve">Section III: </w:t>
      </w:r>
      <w:proofErr w:type="gramStart"/>
      <w:r w:rsidRPr="00244113">
        <w:rPr>
          <w:color w:val="0092D1"/>
        </w:rPr>
        <w:t>Returnable Bidding</w:t>
      </w:r>
      <w:proofErr w:type="gramEnd"/>
      <w:r w:rsidRPr="00244113">
        <w:rPr>
          <w:color w:val="0092D1"/>
        </w:rPr>
        <w:t xml:space="preserve"> Forms</w:t>
      </w:r>
    </w:p>
    <w:p w14:paraId="2D00BF35" w14:textId="313D97A2" w:rsidR="00823A0C" w:rsidRDefault="00821519" w:rsidP="00823A0C">
      <w:pPr>
        <w:pStyle w:val="Heading2"/>
        <w:shd w:val="clear" w:color="auto" w:fill="FFFFFF"/>
        <w:spacing w:before="0" w:after="0"/>
        <w:rPr>
          <w:rStyle w:val="tenderreference"/>
          <w:rFonts w:ascii="Roboto" w:hAnsi="Roboto"/>
          <w:b w:val="0"/>
          <w:bCs w:val="0"/>
          <w:color w:val="31708F"/>
          <w:sz w:val="25"/>
          <w:szCs w:val="24"/>
          <w:bdr w:val="none" w:sz="0" w:space="0" w:color="auto" w:frame="1"/>
          <w:shd w:val="clear" w:color="auto" w:fill="D9EDF7"/>
        </w:rPr>
      </w:pPr>
      <w:proofErr w:type="gramStart"/>
      <w:r w:rsidRPr="00476D02">
        <w:rPr>
          <w:sz w:val="24"/>
          <w:szCs w:val="24"/>
        </w:rPr>
        <w:t>eSourcing</w:t>
      </w:r>
      <w:proofErr w:type="gramEnd"/>
      <w:r w:rsidRPr="00476D02">
        <w:rPr>
          <w:sz w:val="24"/>
          <w:szCs w:val="24"/>
        </w:rPr>
        <w:t xml:space="preserve"> reference: </w:t>
      </w:r>
      <w:r w:rsidR="001E2ADE">
        <w:t>RFQ/2020/16387</w:t>
      </w:r>
    </w:p>
    <w:p w14:paraId="5F40C776" w14:textId="77777777" w:rsidR="00476D02" w:rsidRPr="00476D02" w:rsidRDefault="00476D02" w:rsidP="00476D02"/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 xml:space="preserve">Instructions to complete each Form </w:t>
      </w:r>
      <w:proofErr w:type="gramStart"/>
      <w:r w:rsidRPr="00300FCE">
        <w:rPr>
          <w:color w:val="000000"/>
          <w:highlight w:val="cyan"/>
          <w:lang w:val="en-AU"/>
        </w:rPr>
        <w:t>are highlighted</w:t>
      </w:r>
      <w:proofErr w:type="gramEnd"/>
      <w:r w:rsidRPr="00300FCE">
        <w:rPr>
          <w:color w:val="000000"/>
          <w:highlight w:val="cyan"/>
          <w:lang w:val="en-AU"/>
        </w:rPr>
        <w:t xml:space="preserve">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31A38ED1" w14:textId="77777777" w:rsidR="00476D02" w:rsidRDefault="00476D02" w:rsidP="00880D28">
      <w:pPr>
        <w:pStyle w:val="Headline"/>
        <w:spacing w:before="40"/>
        <w:rPr>
          <w:color w:val="0092D1"/>
        </w:rPr>
      </w:pPr>
    </w:p>
    <w:p w14:paraId="6DF6DE1B" w14:textId="2208409D" w:rsidR="00880D28" w:rsidRPr="00244113" w:rsidRDefault="00880D28" w:rsidP="00880D28">
      <w:pPr>
        <w:pStyle w:val="Headline"/>
        <w:spacing w:before="40"/>
        <w:rPr>
          <w:color w:val="0092D1"/>
        </w:rPr>
      </w:pPr>
      <w:r w:rsidRPr="00244113">
        <w:rPr>
          <w:color w:val="0092D1"/>
        </w:rPr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 xml:space="preserve">Bidders </w:t>
      </w:r>
      <w:proofErr w:type="gramStart"/>
      <w:r w:rsidRPr="00C250C5">
        <w:rPr>
          <w:bCs/>
          <w:iCs/>
          <w:spacing w:val="-3"/>
        </w:rPr>
        <w:t>are requested</w:t>
      </w:r>
      <w:proofErr w:type="gramEnd"/>
      <w:r w:rsidRPr="00C250C5">
        <w:rPr>
          <w:bCs/>
          <w:iCs/>
          <w:spacing w:val="-3"/>
        </w:rPr>
        <w:t xml:space="preserve">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</w:t>
      </w:r>
      <w:proofErr w:type="gramStart"/>
      <w:r w:rsidRPr="00C250C5">
        <w:rPr>
          <w:iCs/>
        </w:rPr>
        <w:t>shall be permitted</w:t>
      </w:r>
      <w:proofErr w:type="gramEnd"/>
      <w:r w:rsidRPr="00C250C5">
        <w:rPr>
          <w:iCs/>
        </w:rPr>
        <w:t xml:space="preserve">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58E5F24D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 xml:space="preserve">the supply </w:t>
      </w:r>
      <w:r w:rsidRPr="0020778C">
        <w:rPr>
          <w:b/>
          <w:color w:val="000000"/>
          <w:lang w:val="en-AU"/>
        </w:rPr>
        <w:t xml:space="preserve">of </w:t>
      </w:r>
      <w:r w:rsidR="0020778C" w:rsidRPr="0020778C">
        <w:rPr>
          <w:b/>
          <w:i/>
          <w:iCs/>
          <w:color w:val="000000"/>
          <w:u w:val="single"/>
          <w:lang w:val="en-AU"/>
        </w:rPr>
        <w:t>Simultaneous Translation Virtual Teleconferencing Platform</w:t>
      </w:r>
      <w:r w:rsidR="0020778C">
        <w:rPr>
          <w:color w:val="000000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="001E2ADE">
        <w:t>RFQ/2020/16387</w:t>
      </w:r>
      <w:r w:rsidR="00EE37AA">
        <w:rPr>
          <w:rStyle w:val="Emphasis"/>
          <w:i w:val="0"/>
          <w:lang w:val="en-AU"/>
        </w:rPr>
        <w:t>/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11221505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A64EA4"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="00A64EA4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A64EA4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I: Instructions to Bidders, please </w:t>
      </w:r>
      <w:r w:rsidR="00A64EA4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A64EA4">
        <w:rPr>
          <w:rStyle w:val="Emphasis"/>
          <w:rFonts w:ascii="Arial" w:hAnsi="Arial"/>
          <w:i w:val="0"/>
          <w:sz w:val="20"/>
          <w:szCs w:val="20"/>
        </w:rPr>
        <w:t>]</w:t>
      </w:r>
      <w:r w:rsidR="00A64EA4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proofErr w:type="spellStart"/>
      <w:r w:rsidRPr="00C250C5">
        <w:rPr>
          <w:rStyle w:val="Emphasis"/>
          <w:rFonts w:ascii="Arial" w:hAnsi="Arial"/>
          <w:i w:val="0"/>
          <w:sz w:val="20"/>
          <w:szCs w:val="20"/>
        </w:rPr>
        <w:t>offeror</w:t>
      </w:r>
      <w:proofErr w:type="spellEnd"/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lastRenderedPageBreak/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4246FF75" w:rsidR="00880D28" w:rsidRDefault="00880D28" w:rsidP="00880D28">
      <w:pPr>
        <w:pStyle w:val="Heading1"/>
        <w:rPr>
          <w:color w:val="0092D1"/>
          <w:szCs w:val="24"/>
        </w:rPr>
      </w:pPr>
      <w:r w:rsidRPr="00244113">
        <w:rPr>
          <w:color w:val="0092D1"/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 w:rsidRPr="00476D02">
        <w:rPr>
          <w:b/>
          <w:bCs/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4E3263A2" w14:textId="77777777" w:rsidR="00880D28" w:rsidRDefault="00880D28" w:rsidP="00880D28"/>
    <w:p w14:paraId="6E476746" w14:textId="5B72F4B4" w:rsidR="00880D28" w:rsidRPr="003470DA" w:rsidRDefault="00880D28" w:rsidP="00823A0C">
      <w:pPr>
        <w:pStyle w:val="BankNormal"/>
        <w:spacing w:after="60"/>
      </w:pPr>
      <w:r>
        <w:rPr>
          <w:rFonts w:ascii="Arial" w:hAnsi="Arial" w:cs="Arial"/>
          <w:iCs/>
          <w:sz w:val="20"/>
        </w:rPr>
        <w:t xml:space="preserve">RFQ reference no: </w:t>
      </w:r>
      <w:r w:rsidR="001E2ADE">
        <w:t>RFQ/2020/16387</w:t>
      </w:r>
    </w:p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"/>
        <w:gridCol w:w="1555"/>
        <w:gridCol w:w="1569"/>
        <w:gridCol w:w="152"/>
        <w:gridCol w:w="2521"/>
        <w:gridCol w:w="888"/>
        <w:gridCol w:w="62"/>
        <w:gridCol w:w="1013"/>
        <w:gridCol w:w="1017"/>
      </w:tblGrid>
      <w:tr w:rsidR="001E2ADE" w14:paraId="794291A6" w14:textId="77777777" w:rsidTr="001E2ADE">
        <w:trPr>
          <w:gridBefore w:val="1"/>
          <w:gridAfter w:val="6"/>
          <w:wBefore w:w="6" w:type="dxa"/>
          <w:wAfter w:w="5653" w:type="dxa"/>
          <w:trHeight w:val="246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481AA2C" w14:textId="77777777" w:rsidR="001E2ADE" w:rsidRPr="003470DA" w:rsidRDefault="001E2ADE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1569" w:type="dxa"/>
            <w:vAlign w:val="center"/>
          </w:tcPr>
          <w:p w14:paraId="4D6A1208" w14:textId="54EE464C" w:rsidR="001E2ADE" w:rsidRPr="003470DA" w:rsidRDefault="001E2ADE" w:rsidP="00667B78">
            <w:pPr>
              <w:jc w:val="center"/>
              <w:rPr>
                <w:rFonts w:ascii="Arial" w:hAnsi="Arial"/>
              </w:rPr>
            </w:pPr>
            <w:r w:rsidRPr="00667B78">
              <w:rPr>
                <w:rFonts w:ascii="Arial" w:hAnsi="Arial"/>
                <w:highlight w:val="yellow"/>
              </w:rPr>
              <w:t>USD</w:t>
            </w:r>
          </w:p>
        </w:tc>
      </w:tr>
      <w:tr w:rsidR="001E2ADE" w:rsidRPr="00A67B61" w14:paraId="758634F0" w14:textId="77777777" w:rsidTr="001E2ADE">
        <w:trPr>
          <w:trHeight w:val="465"/>
        </w:trPr>
        <w:tc>
          <w:tcPr>
            <w:tcW w:w="8783" w:type="dxa"/>
            <w:gridSpan w:val="9"/>
            <w:hideMark/>
          </w:tcPr>
          <w:p w14:paraId="3679B0F3" w14:textId="73CAAE0C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IATI MA 2020, 1-2 December, 2020, Online</w:t>
            </w:r>
          </w:p>
        </w:tc>
      </w:tr>
      <w:tr w:rsidR="001E2ADE" w:rsidRPr="00A67B61" w14:paraId="7C64781C" w14:textId="77777777" w:rsidTr="001E2ADE">
        <w:trPr>
          <w:trHeight w:val="315"/>
        </w:trPr>
        <w:tc>
          <w:tcPr>
            <w:tcW w:w="1561" w:type="dxa"/>
            <w:gridSpan w:val="2"/>
            <w:hideMark/>
          </w:tcPr>
          <w:p w14:paraId="38A9D326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Tasks</w:t>
            </w:r>
          </w:p>
        </w:tc>
        <w:tc>
          <w:tcPr>
            <w:tcW w:w="4242" w:type="dxa"/>
            <w:gridSpan w:val="3"/>
            <w:hideMark/>
          </w:tcPr>
          <w:p w14:paraId="66162B4C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B61">
              <w:rPr>
                <w:b/>
                <w:color w:val="000000"/>
              </w:rPr>
              <w:t>Requirements</w:t>
            </w:r>
          </w:p>
        </w:tc>
        <w:tc>
          <w:tcPr>
            <w:tcW w:w="950" w:type="dxa"/>
            <w:gridSpan w:val="2"/>
            <w:hideMark/>
          </w:tcPr>
          <w:p w14:paraId="7B880249" w14:textId="77777777" w:rsidR="001E2ADE" w:rsidRPr="00ED3CF2" w:rsidRDefault="001E2ADE" w:rsidP="007A34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7B61">
              <w:rPr>
                <w:b/>
                <w:color w:val="000000"/>
              </w:rPr>
              <w:t>Quantity</w:t>
            </w:r>
          </w:p>
        </w:tc>
        <w:tc>
          <w:tcPr>
            <w:tcW w:w="1013" w:type="dxa"/>
          </w:tcPr>
          <w:p w14:paraId="2BCC9824" w14:textId="77777777" w:rsidR="001E2ADE" w:rsidRPr="00ED3CF2" w:rsidRDefault="001E2ADE" w:rsidP="007A34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CF2">
              <w:rPr>
                <w:b/>
                <w:color w:val="000000"/>
              </w:rPr>
              <w:t>Unit cost in USD</w:t>
            </w:r>
            <w:r w:rsidRPr="00EE37AA">
              <w:rPr>
                <w:b/>
                <w:color w:val="000000"/>
                <w:highlight w:val="yellow"/>
              </w:rPr>
              <w:t>/per hour</w:t>
            </w:r>
          </w:p>
        </w:tc>
        <w:tc>
          <w:tcPr>
            <w:tcW w:w="1017" w:type="dxa"/>
          </w:tcPr>
          <w:p w14:paraId="62F56D06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CF2">
              <w:rPr>
                <w:b/>
                <w:color w:val="000000"/>
              </w:rPr>
              <w:t>TOTAL  cost in USD</w:t>
            </w:r>
          </w:p>
        </w:tc>
      </w:tr>
      <w:tr w:rsidR="001E2ADE" w:rsidRPr="00A67B61" w14:paraId="29395D85" w14:textId="77777777" w:rsidTr="001E2ADE">
        <w:trPr>
          <w:trHeight w:val="542"/>
        </w:trPr>
        <w:tc>
          <w:tcPr>
            <w:tcW w:w="1561" w:type="dxa"/>
            <w:gridSpan w:val="2"/>
            <w:vMerge w:val="restart"/>
            <w:hideMark/>
          </w:tcPr>
          <w:p w14:paraId="3560D0D2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 1:</w:t>
            </w:r>
          </w:p>
          <w:p w14:paraId="5E37CB80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6C4B8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Meeting platform online</w:t>
            </w:r>
          </w:p>
          <w:p w14:paraId="56358ACD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and Audio-Visual Equipment, 30 November and</w:t>
            </w:r>
          </w:p>
          <w:p w14:paraId="5F1AD102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1-2 December, 2020</w:t>
            </w:r>
          </w:p>
        </w:tc>
        <w:tc>
          <w:tcPr>
            <w:tcW w:w="1721" w:type="dxa"/>
            <w:gridSpan w:val="2"/>
            <w:vMerge w:val="restart"/>
            <w:hideMark/>
          </w:tcPr>
          <w:p w14:paraId="22D12134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Provision of bilingual online platform including an "online main meeting room" for plenary sessions, capable of accommodating:</w:t>
            </w:r>
          </w:p>
          <w:p w14:paraId="4BF39BCF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14:paraId="5BAD3ED2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A67B61">
              <w:rPr>
                <w:color w:val="000000"/>
              </w:rPr>
              <w:t>November 3</w:t>
            </w:r>
            <w:r>
              <w:rPr>
                <w:color w:val="000000"/>
              </w:rPr>
              <w:t>0</w:t>
            </w:r>
            <w:r w:rsidRPr="002F5388">
              <w:rPr>
                <w:color w:val="000000"/>
                <w:vertAlign w:val="superscript"/>
              </w:rPr>
              <w:t>th</w:t>
            </w:r>
            <w:r>
              <w:rPr>
                <w:color w:val="000000"/>
              </w:rPr>
              <w:t>, 2020; up to 90 minutes in length</w:t>
            </w:r>
            <w:r w:rsidRPr="00A67B61">
              <w:rPr>
                <w:color w:val="2E2E2E"/>
                <w:shd w:val="clear" w:color="auto" w:fill="FFFFFF"/>
              </w:rPr>
              <w:t> </w:t>
            </w:r>
            <w:r w:rsidRPr="00A67B61">
              <w:rPr>
                <w:color w:val="000000"/>
              </w:rPr>
              <w:t xml:space="preserve">for up to 200 participants; as well as the ability to present live panel discussions (for up to 6 </w:t>
            </w:r>
            <w:proofErr w:type="spellStart"/>
            <w:r w:rsidRPr="00A67B61">
              <w:rPr>
                <w:color w:val="000000"/>
              </w:rPr>
              <w:t>panelists</w:t>
            </w:r>
            <w:proofErr w:type="spellEnd"/>
            <w:r w:rsidRPr="00A67B61">
              <w:rPr>
                <w:color w:val="000000"/>
              </w:rPr>
              <w:t xml:space="preserve"> simultaneously).</w:t>
            </w:r>
          </w:p>
        </w:tc>
        <w:tc>
          <w:tcPr>
            <w:tcW w:w="950" w:type="dxa"/>
            <w:gridSpan w:val="2"/>
            <w:hideMark/>
          </w:tcPr>
          <w:p w14:paraId="204FEA57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34DDBC3C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398B1F37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07DFBFDE" w14:textId="77777777" w:rsidTr="001E2ADE">
        <w:trPr>
          <w:trHeight w:val="541"/>
        </w:trPr>
        <w:tc>
          <w:tcPr>
            <w:tcW w:w="1561" w:type="dxa"/>
            <w:gridSpan w:val="2"/>
            <w:vMerge/>
          </w:tcPr>
          <w:p w14:paraId="18C5774F" w14:textId="77777777" w:rsidR="001E2ADE" w:rsidRPr="00A67B61" w:rsidRDefault="001E2ADE" w:rsidP="007A3495">
            <w:pPr>
              <w:rPr>
                <w:b/>
                <w:bCs/>
                <w:color w:val="000000"/>
              </w:rPr>
            </w:pPr>
          </w:p>
        </w:tc>
        <w:tc>
          <w:tcPr>
            <w:tcW w:w="1721" w:type="dxa"/>
            <w:gridSpan w:val="2"/>
            <w:vMerge/>
          </w:tcPr>
          <w:p w14:paraId="6A7EC9D1" w14:textId="77777777" w:rsidR="001E2ADE" w:rsidRPr="00A67B61" w:rsidRDefault="001E2ADE" w:rsidP="007A3495">
            <w:pPr>
              <w:rPr>
                <w:color w:val="000000"/>
              </w:rPr>
            </w:pPr>
          </w:p>
        </w:tc>
        <w:tc>
          <w:tcPr>
            <w:tcW w:w="2521" w:type="dxa"/>
          </w:tcPr>
          <w:p w14:paraId="1D115901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A67B61">
              <w:rPr>
                <w:color w:val="000000"/>
              </w:rPr>
              <w:t xml:space="preserve">December </w:t>
            </w:r>
            <w:proofErr w:type="gramStart"/>
            <w:r w:rsidRPr="00A67B61">
              <w:rPr>
                <w:color w:val="000000"/>
              </w:rPr>
              <w:t>1</w:t>
            </w:r>
            <w:r w:rsidRPr="00A67B61">
              <w:rPr>
                <w:color w:val="000000"/>
                <w:vertAlign w:val="superscript"/>
              </w:rPr>
              <w:t>st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,</w:t>
            </w:r>
            <w:proofErr w:type="gramEnd"/>
            <w:r>
              <w:rPr>
                <w:color w:val="000000"/>
              </w:rPr>
              <w:t xml:space="preserve"> 2020</w:t>
            </w:r>
            <w:r w:rsidRPr="00A67B61">
              <w:rPr>
                <w:color w:val="000000"/>
              </w:rPr>
              <w:t xml:space="preserve">; 3 hours in length </w:t>
            </w:r>
            <w:r>
              <w:rPr>
                <w:color w:val="000000"/>
              </w:rPr>
              <w:t>during the</w:t>
            </w:r>
            <w:r w:rsidRPr="00A67B61">
              <w:rPr>
                <w:color w:val="000000"/>
              </w:rPr>
              <w:t xml:space="preserve"> day, for up to 200 participants; as well as the ability to present live panel discussions (for up to 6 </w:t>
            </w:r>
            <w:proofErr w:type="spellStart"/>
            <w:r w:rsidRPr="00A67B61">
              <w:rPr>
                <w:color w:val="000000"/>
              </w:rPr>
              <w:t>panelists</w:t>
            </w:r>
            <w:proofErr w:type="spellEnd"/>
            <w:r w:rsidRPr="00A67B61">
              <w:rPr>
                <w:color w:val="000000"/>
              </w:rPr>
              <w:t xml:space="preserve"> simultaneously).</w:t>
            </w:r>
          </w:p>
        </w:tc>
        <w:tc>
          <w:tcPr>
            <w:tcW w:w="950" w:type="dxa"/>
            <w:gridSpan w:val="2"/>
          </w:tcPr>
          <w:p w14:paraId="3D903B6D" w14:textId="77777777" w:rsidR="001E2ADE" w:rsidRPr="00A67B61" w:rsidRDefault="001E2ADE" w:rsidP="007A3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6144AA0D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23C8C51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3397160E" w14:textId="77777777" w:rsidTr="001E2ADE">
        <w:trPr>
          <w:trHeight w:val="541"/>
        </w:trPr>
        <w:tc>
          <w:tcPr>
            <w:tcW w:w="1561" w:type="dxa"/>
            <w:gridSpan w:val="2"/>
            <w:vMerge/>
          </w:tcPr>
          <w:p w14:paraId="2DD06338" w14:textId="77777777" w:rsidR="001E2ADE" w:rsidRPr="00A67B61" w:rsidRDefault="001E2ADE" w:rsidP="007A3495">
            <w:pPr>
              <w:rPr>
                <w:b/>
                <w:bCs/>
                <w:color w:val="000000"/>
              </w:rPr>
            </w:pPr>
          </w:p>
        </w:tc>
        <w:tc>
          <w:tcPr>
            <w:tcW w:w="1721" w:type="dxa"/>
            <w:gridSpan w:val="2"/>
            <w:vMerge/>
          </w:tcPr>
          <w:p w14:paraId="2E7B1E55" w14:textId="77777777" w:rsidR="001E2ADE" w:rsidRPr="00A67B61" w:rsidRDefault="001E2ADE" w:rsidP="007A3495">
            <w:pPr>
              <w:rPr>
                <w:color w:val="000000"/>
              </w:rPr>
            </w:pPr>
          </w:p>
        </w:tc>
        <w:tc>
          <w:tcPr>
            <w:tcW w:w="2521" w:type="dxa"/>
          </w:tcPr>
          <w:p w14:paraId="44476531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-December 2</w:t>
            </w:r>
            <w:r w:rsidRPr="00A67B61">
              <w:rPr>
                <w:color w:val="000000"/>
                <w:vertAlign w:val="superscript"/>
              </w:rPr>
              <w:t>nd</w:t>
            </w:r>
            <w:r>
              <w:rPr>
                <w:color w:val="000000"/>
              </w:rPr>
              <w:t>, 2020</w:t>
            </w:r>
            <w:r w:rsidRPr="00A67B61">
              <w:rPr>
                <w:color w:val="000000"/>
              </w:rPr>
              <w:t xml:space="preserve">; 3 hours in length </w:t>
            </w:r>
            <w:r>
              <w:rPr>
                <w:color w:val="000000"/>
              </w:rPr>
              <w:t>during the</w:t>
            </w:r>
            <w:r w:rsidRPr="00A67B61">
              <w:rPr>
                <w:color w:val="000000"/>
              </w:rPr>
              <w:t xml:space="preserve"> day, for up to 200 participants; as well as the ability to present live panel discussions (for up to 6 </w:t>
            </w:r>
            <w:proofErr w:type="spellStart"/>
            <w:r w:rsidRPr="00A67B61">
              <w:rPr>
                <w:color w:val="000000"/>
              </w:rPr>
              <w:t>panelists</w:t>
            </w:r>
            <w:proofErr w:type="spellEnd"/>
            <w:r w:rsidRPr="00A67B61">
              <w:rPr>
                <w:color w:val="000000"/>
              </w:rPr>
              <w:t xml:space="preserve"> simultaneously).</w:t>
            </w:r>
          </w:p>
        </w:tc>
        <w:tc>
          <w:tcPr>
            <w:tcW w:w="950" w:type="dxa"/>
            <w:gridSpan w:val="2"/>
          </w:tcPr>
          <w:p w14:paraId="0201D921" w14:textId="77777777" w:rsidR="001E2ADE" w:rsidRPr="00A67B61" w:rsidRDefault="001E2ADE" w:rsidP="007A34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1BF36FAD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65100B87" w14:textId="77777777" w:rsidR="001E2ADE" w:rsidRPr="00A67B61" w:rsidRDefault="001E2ADE" w:rsidP="007A3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537F5DCB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4635F306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1EB90227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-</w:t>
            </w:r>
            <w:r w:rsidRPr="00A67B61">
              <w:rPr>
                <w:b/>
                <w:color w:val="000000"/>
              </w:rPr>
              <w:t>Week before the meeting</w:t>
            </w:r>
            <w:r w:rsidRPr="00A67B61">
              <w:rPr>
                <w:color w:val="000000"/>
              </w:rPr>
              <w:t>: Provision of (3) online meeting rooms at different times, where all rooms should be capable of accommodating up to 100 people.</w:t>
            </w:r>
          </w:p>
        </w:tc>
        <w:tc>
          <w:tcPr>
            <w:tcW w:w="950" w:type="dxa"/>
            <w:gridSpan w:val="2"/>
            <w:hideMark/>
          </w:tcPr>
          <w:p w14:paraId="3A9444E5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3</w:t>
            </w:r>
          </w:p>
        </w:tc>
        <w:tc>
          <w:tcPr>
            <w:tcW w:w="1013" w:type="dxa"/>
          </w:tcPr>
          <w:p w14:paraId="6523DDE8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C04E985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621F517D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583E23B7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62ECFDB1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Provision of an online registration platform, branded following IATI brand guideline</w:t>
            </w:r>
          </w:p>
        </w:tc>
        <w:tc>
          <w:tcPr>
            <w:tcW w:w="950" w:type="dxa"/>
            <w:gridSpan w:val="2"/>
            <w:hideMark/>
          </w:tcPr>
          <w:p w14:paraId="38CD63D1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3A7B0DB6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DC9CF38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2EFCC480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66860073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3DCC2607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Meeting programming and setting up online</w:t>
            </w:r>
          </w:p>
        </w:tc>
        <w:tc>
          <w:tcPr>
            <w:tcW w:w="950" w:type="dxa"/>
            <w:gridSpan w:val="2"/>
            <w:hideMark/>
          </w:tcPr>
          <w:p w14:paraId="5BDBA3BF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1425C1FD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78FB418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39C2A387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320B3CCA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2" w:type="dxa"/>
            <w:gridSpan w:val="7"/>
            <w:hideMark/>
          </w:tcPr>
          <w:p w14:paraId="7427E680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Provision of audio-visual equipment for speakers incl.:</w:t>
            </w:r>
          </w:p>
        </w:tc>
      </w:tr>
      <w:tr w:rsidR="001E2ADE" w:rsidRPr="00A67B61" w14:paraId="4670653D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7B084296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06EF7ED0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a) USB connected headphones, including microphones sent to speakers where needed to assure superior sound quality for simultaneous online translation</w:t>
            </w:r>
          </w:p>
        </w:tc>
        <w:tc>
          <w:tcPr>
            <w:tcW w:w="950" w:type="dxa"/>
            <w:gridSpan w:val="2"/>
            <w:hideMark/>
          </w:tcPr>
          <w:p w14:paraId="2CE0B107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12</w:t>
            </w:r>
          </w:p>
        </w:tc>
        <w:tc>
          <w:tcPr>
            <w:tcW w:w="1013" w:type="dxa"/>
          </w:tcPr>
          <w:p w14:paraId="42F42D9D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C86B23C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7C1AA69F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60E8ACE6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593DE84B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b) Possibility to show the participants presentations online while presenting</w:t>
            </w:r>
          </w:p>
        </w:tc>
        <w:tc>
          <w:tcPr>
            <w:tcW w:w="950" w:type="dxa"/>
            <w:gridSpan w:val="2"/>
            <w:hideMark/>
          </w:tcPr>
          <w:p w14:paraId="37055EF0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6417E0EC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31C9F5F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33CF7FC0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25771AED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6550B58F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c) provision of voting system online (Accessible for the IATI Members only, one vote per member)</w:t>
            </w:r>
          </w:p>
        </w:tc>
        <w:tc>
          <w:tcPr>
            <w:tcW w:w="950" w:type="dxa"/>
            <w:gridSpan w:val="2"/>
            <w:hideMark/>
          </w:tcPr>
          <w:p w14:paraId="64522961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3F0A66CC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D1683EB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400F021D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3A64B720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44D22050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d) Provision of technical personnel for the operation of all technical equipment, including audio-sound system, online platform equipment.</w:t>
            </w:r>
          </w:p>
        </w:tc>
        <w:tc>
          <w:tcPr>
            <w:tcW w:w="950" w:type="dxa"/>
            <w:gridSpan w:val="2"/>
            <w:hideMark/>
          </w:tcPr>
          <w:p w14:paraId="4C2E8729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30041187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7213585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14E4DEA3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1AD0E15D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5A62638E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e) Virtual platform logistics coordinator (pre-post meeting)</w:t>
            </w:r>
          </w:p>
        </w:tc>
        <w:tc>
          <w:tcPr>
            <w:tcW w:w="950" w:type="dxa"/>
            <w:gridSpan w:val="2"/>
            <w:hideMark/>
          </w:tcPr>
          <w:p w14:paraId="0B923653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033ACBAC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1A43DD6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5E25EBF1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2B3DDDEA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7F772464" w14:textId="77777777" w:rsidR="001E2ADE" w:rsidRPr="00A67B61" w:rsidRDefault="001E2ADE" w:rsidP="007A3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technical facilitator</w:t>
            </w:r>
          </w:p>
        </w:tc>
        <w:tc>
          <w:tcPr>
            <w:tcW w:w="950" w:type="dxa"/>
            <w:gridSpan w:val="2"/>
            <w:hideMark/>
          </w:tcPr>
          <w:p w14:paraId="18BC0033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7F605F58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F36A35D" w14:textId="77777777" w:rsidR="001E2ADE" w:rsidRPr="00A67B61" w:rsidRDefault="001E2ADE" w:rsidP="007A34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0635DF5B" w14:textId="19A7848E" w:rsidTr="001E2ADE">
        <w:trPr>
          <w:trHeight w:val="213"/>
        </w:trPr>
        <w:tc>
          <w:tcPr>
            <w:tcW w:w="1561" w:type="dxa"/>
            <w:gridSpan w:val="2"/>
            <w:vMerge/>
            <w:hideMark/>
          </w:tcPr>
          <w:p w14:paraId="6FD96F7D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6"/>
          </w:tcPr>
          <w:p w14:paraId="0347CA4A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S</w:t>
            </w:r>
            <w:r w:rsidRPr="00A67B61">
              <w:rPr>
                <w:color w:val="000000"/>
              </w:rPr>
              <w:t>UBTOTAL TASK 1: Meeting platform online and Audio-Visual Equipment,</w:t>
            </w:r>
            <w:r>
              <w:rPr>
                <w:color w:val="000000"/>
              </w:rPr>
              <w:t xml:space="preserve"> </w:t>
            </w:r>
            <w:r w:rsidRPr="00A67B61">
              <w:rPr>
                <w:color w:val="000000"/>
              </w:rPr>
              <w:t>30 November and 1-2 December, 2020</w:t>
            </w:r>
          </w:p>
        </w:tc>
        <w:tc>
          <w:tcPr>
            <w:tcW w:w="1017" w:type="dxa"/>
          </w:tcPr>
          <w:p w14:paraId="5301C6D6" w14:textId="66631C76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590E8659" w14:textId="77777777" w:rsidTr="001E2ADE">
        <w:trPr>
          <w:trHeight w:val="315"/>
        </w:trPr>
        <w:tc>
          <w:tcPr>
            <w:tcW w:w="1561" w:type="dxa"/>
            <w:gridSpan w:val="2"/>
            <w:vMerge w:val="restart"/>
            <w:hideMark/>
          </w:tcPr>
          <w:p w14:paraId="2807EFBE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 2:</w:t>
            </w:r>
          </w:p>
          <w:p w14:paraId="538523B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704B5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Supplying simultaneous interpretation services (</w:t>
            </w:r>
            <w:proofErr w:type="spellStart"/>
            <w:r w:rsidRPr="00A67B61">
              <w:rPr>
                <w:b/>
                <w:bCs/>
                <w:color w:val="000000"/>
              </w:rPr>
              <w:t>french-english</w:t>
            </w:r>
            <w:proofErr w:type="spellEnd"/>
            <w:r w:rsidRPr="00A67B61">
              <w:rPr>
                <w:b/>
                <w:bCs/>
                <w:color w:val="000000"/>
              </w:rPr>
              <w:t xml:space="preserve"> and </w:t>
            </w:r>
            <w:proofErr w:type="spellStart"/>
            <w:r w:rsidRPr="00A67B61">
              <w:rPr>
                <w:b/>
                <w:bCs/>
                <w:color w:val="000000"/>
              </w:rPr>
              <w:t>english-french</w:t>
            </w:r>
            <w:proofErr w:type="spellEnd"/>
            <w:r w:rsidRPr="00A67B61">
              <w:rPr>
                <w:b/>
                <w:bCs/>
                <w:color w:val="000000"/>
              </w:rPr>
              <w:t>) for 30 November and 1-2 December, 2020 and the caucus meetings</w:t>
            </w:r>
          </w:p>
        </w:tc>
        <w:tc>
          <w:tcPr>
            <w:tcW w:w="4242" w:type="dxa"/>
            <w:gridSpan w:val="3"/>
            <w:hideMark/>
          </w:tcPr>
          <w:p w14:paraId="493C719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Simultaneous Translation Virtual Teleconferencing Platform Package for 200 participants</w:t>
            </w:r>
          </w:p>
        </w:tc>
        <w:tc>
          <w:tcPr>
            <w:tcW w:w="950" w:type="dxa"/>
            <w:gridSpan w:val="2"/>
            <w:hideMark/>
          </w:tcPr>
          <w:p w14:paraId="2EDD8B0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200</w:t>
            </w:r>
          </w:p>
        </w:tc>
        <w:tc>
          <w:tcPr>
            <w:tcW w:w="1013" w:type="dxa"/>
          </w:tcPr>
          <w:p w14:paraId="042BBD6D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D0EBA51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089B5D66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1D44E4C4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77090446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Simultaneous online translation system, two languages (English and French)</w:t>
            </w:r>
          </w:p>
        </w:tc>
        <w:tc>
          <w:tcPr>
            <w:tcW w:w="950" w:type="dxa"/>
            <w:gridSpan w:val="2"/>
            <w:hideMark/>
          </w:tcPr>
          <w:p w14:paraId="2FF5DFCD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06978462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DBE4CF5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46D4FA39" w14:textId="77777777" w:rsidTr="001E2ADE">
        <w:trPr>
          <w:trHeight w:val="870"/>
        </w:trPr>
        <w:tc>
          <w:tcPr>
            <w:tcW w:w="1561" w:type="dxa"/>
            <w:gridSpan w:val="2"/>
            <w:vMerge/>
            <w:hideMark/>
          </w:tcPr>
          <w:p w14:paraId="4B5AD869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772D237C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Headset for speakers with USB stick to allow for good quality audio for recording and simultaneous interpretation. (</w:t>
            </w:r>
            <w:proofErr w:type="gramStart"/>
            <w:r w:rsidRPr="00A67B61">
              <w:rPr>
                <w:color w:val="000000"/>
              </w:rPr>
              <w:t>see</w:t>
            </w:r>
            <w:proofErr w:type="gramEnd"/>
            <w:r w:rsidRPr="00A67B61">
              <w:rPr>
                <w:color w:val="000000"/>
              </w:rPr>
              <w:t xml:space="preserve"> 1a). Purchased and sent to main speakers where necessary.</w:t>
            </w:r>
          </w:p>
        </w:tc>
        <w:tc>
          <w:tcPr>
            <w:tcW w:w="950" w:type="dxa"/>
            <w:gridSpan w:val="2"/>
            <w:hideMark/>
          </w:tcPr>
          <w:p w14:paraId="19B7491B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12</w:t>
            </w:r>
          </w:p>
        </w:tc>
        <w:tc>
          <w:tcPr>
            <w:tcW w:w="1013" w:type="dxa"/>
          </w:tcPr>
          <w:p w14:paraId="277C4A6E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66402B96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03F6062D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739049A6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0166698F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simultaneous translation services (interpretation) (English - French and French-English)</w:t>
            </w:r>
          </w:p>
        </w:tc>
        <w:tc>
          <w:tcPr>
            <w:tcW w:w="950" w:type="dxa"/>
            <w:gridSpan w:val="2"/>
            <w:hideMark/>
          </w:tcPr>
          <w:p w14:paraId="50EC36FD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4 (TBC)</w:t>
            </w:r>
          </w:p>
        </w:tc>
        <w:tc>
          <w:tcPr>
            <w:tcW w:w="1013" w:type="dxa"/>
          </w:tcPr>
          <w:p w14:paraId="11066FE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3F002772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6A2D9087" w14:textId="77777777" w:rsidTr="001E2ADE">
        <w:trPr>
          <w:trHeight w:val="555"/>
        </w:trPr>
        <w:tc>
          <w:tcPr>
            <w:tcW w:w="1561" w:type="dxa"/>
            <w:gridSpan w:val="2"/>
            <w:vMerge/>
            <w:hideMark/>
          </w:tcPr>
          <w:p w14:paraId="1057A3F3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6"/>
            <w:hideMark/>
          </w:tcPr>
          <w:p w14:paraId="545C575D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SUBTOTAL TASK 2: Supplying simultaneous interpretation services (</w:t>
            </w:r>
            <w:proofErr w:type="spellStart"/>
            <w:r w:rsidRPr="00A67B61">
              <w:rPr>
                <w:color w:val="000000"/>
              </w:rPr>
              <w:t>french-english</w:t>
            </w:r>
            <w:proofErr w:type="spellEnd"/>
            <w:r w:rsidRPr="00A67B61">
              <w:rPr>
                <w:color w:val="000000"/>
              </w:rPr>
              <w:t xml:space="preserve"> and </w:t>
            </w:r>
            <w:proofErr w:type="spellStart"/>
            <w:r w:rsidRPr="00A67B61">
              <w:rPr>
                <w:color w:val="000000"/>
              </w:rPr>
              <w:t>english-french</w:t>
            </w:r>
            <w:proofErr w:type="spellEnd"/>
            <w:r w:rsidRPr="00A67B61">
              <w:rPr>
                <w:color w:val="000000"/>
              </w:rPr>
              <w:t>) for 30 November and 1-2 December,  2020 and the caucus meetings</w:t>
            </w:r>
          </w:p>
        </w:tc>
        <w:tc>
          <w:tcPr>
            <w:tcW w:w="1017" w:type="dxa"/>
          </w:tcPr>
          <w:p w14:paraId="0D394C37" w14:textId="2118ED82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7465C687" w14:textId="77777777" w:rsidTr="001E2ADE">
        <w:trPr>
          <w:trHeight w:val="315"/>
        </w:trPr>
        <w:tc>
          <w:tcPr>
            <w:tcW w:w="1561" w:type="dxa"/>
            <w:gridSpan w:val="2"/>
            <w:vMerge w:val="restart"/>
            <w:hideMark/>
          </w:tcPr>
          <w:p w14:paraId="710E6DDF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 3:</w:t>
            </w:r>
          </w:p>
          <w:p w14:paraId="5199F441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C3F5A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Design services for event logo and design for event materials</w:t>
            </w:r>
          </w:p>
        </w:tc>
        <w:tc>
          <w:tcPr>
            <w:tcW w:w="4242" w:type="dxa"/>
            <w:gridSpan w:val="3"/>
            <w:hideMark/>
          </w:tcPr>
          <w:p w14:paraId="14571C17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Design services for event online logo and design etc.</w:t>
            </w:r>
          </w:p>
        </w:tc>
        <w:tc>
          <w:tcPr>
            <w:tcW w:w="950" w:type="dxa"/>
            <w:gridSpan w:val="2"/>
            <w:hideMark/>
          </w:tcPr>
          <w:p w14:paraId="6CDD6144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03E94F6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8984397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6A4B95CF" w14:textId="77777777" w:rsidTr="001E2ADE">
        <w:trPr>
          <w:trHeight w:val="885"/>
        </w:trPr>
        <w:tc>
          <w:tcPr>
            <w:tcW w:w="1561" w:type="dxa"/>
            <w:gridSpan w:val="2"/>
            <w:vMerge/>
            <w:hideMark/>
          </w:tcPr>
          <w:p w14:paraId="7F7E1E9A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6"/>
            <w:hideMark/>
          </w:tcPr>
          <w:p w14:paraId="030CB19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SUBTOTAL TASK 4: Supplying a provision of design services for event logo and design for event materials</w:t>
            </w:r>
          </w:p>
        </w:tc>
        <w:tc>
          <w:tcPr>
            <w:tcW w:w="1017" w:type="dxa"/>
          </w:tcPr>
          <w:p w14:paraId="2468FA00" w14:textId="085369C0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3F01C08E" w14:textId="77777777" w:rsidTr="001E2ADE">
        <w:trPr>
          <w:trHeight w:val="315"/>
        </w:trPr>
        <w:tc>
          <w:tcPr>
            <w:tcW w:w="1561" w:type="dxa"/>
            <w:gridSpan w:val="2"/>
            <w:vMerge w:val="restart"/>
            <w:hideMark/>
          </w:tcPr>
          <w:p w14:paraId="70BF0ECC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 4:</w:t>
            </w:r>
          </w:p>
          <w:p w14:paraId="6CA797D3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87342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A provision of video and audio recordings</w:t>
            </w:r>
          </w:p>
        </w:tc>
        <w:tc>
          <w:tcPr>
            <w:tcW w:w="4242" w:type="dxa"/>
            <w:gridSpan w:val="3"/>
            <w:hideMark/>
          </w:tcPr>
          <w:p w14:paraId="4BEAA3B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video recordings from the MA</w:t>
            </w:r>
          </w:p>
        </w:tc>
        <w:tc>
          <w:tcPr>
            <w:tcW w:w="950" w:type="dxa"/>
            <w:gridSpan w:val="2"/>
            <w:hideMark/>
          </w:tcPr>
          <w:p w14:paraId="03966265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3B496CCC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ADF991E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197D3291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4144EB51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0C045334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audio recordings from the MA</w:t>
            </w:r>
          </w:p>
        </w:tc>
        <w:tc>
          <w:tcPr>
            <w:tcW w:w="950" w:type="dxa"/>
            <w:gridSpan w:val="2"/>
            <w:hideMark/>
          </w:tcPr>
          <w:p w14:paraId="1CF89E07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08D3257F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27524065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4B1C9D0F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7309B047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55BC7832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Meeting Audio Recording (Floor and translations)</w:t>
            </w:r>
          </w:p>
        </w:tc>
        <w:tc>
          <w:tcPr>
            <w:tcW w:w="950" w:type="dxa"/>
            <w:gridSpan w:val="2"/>
            <w:hideMark/>
          </w:tcPr>
          <w:p w14:paraId="3A5BFF4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765D8DA6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E101C5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146F21F3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23C225BD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6"/>
            <w:hideMark/>
          </w:tcPr>
          <w:p w14:paraId="579DE356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SUBTOTAL TASK 5: Supplying a provision of video and audio recordings</w:t>
            </w:r>
          </w:p>
        </w:tc>
        <w:tc>
          <w:tcPr>
            <w:tcW w:w="1017" w:type="dxa"/>
          </w:tcPr>
          <w:p w14:paraId="6A2E7C9A" w14:textId="197C7B96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1AF99779" w14:textId="77777777" w:rsidTr="001E2ADE">
        <w:trPr>
          <w:trHeight w:val="315"/>
        </w:trPr>
        <w:tc>
          <w:tcPr>
            <w:tcW w:w="1561" w:type="dxa"/>
            <w:gridSpan w:val="2"/>
            <w:vMerge w:val="restart"/>
            <w:hideMark/>
          </w:tcPr>
          <w:p w14:paraId="0676206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Task 5:</w:t>
            </w:r>
          </w:p>
          <w:p w14:paraId="7CC4C615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01136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b/>
                <w:bCs/>
                <w:color w:val="000000"/>
              </w:rPr>
              <w:t>A provision of reporting and analysis</w:t>
            </w:r>
          </w:p>
        </w:tc>
        <w:tc>
          <w:tcPr>
            <w:tcW w:w="4242" w:type="dxa"/>
            <w:gridSpan w:val="3"/>
            <w:hideMark/>
          </w:tcPr>
          <w:p w14:paraId="4BD10894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registration analysis, including north-south and gender division for the MA</w:t>
            </w:r>
          </w:p>
        </w:tc>
        <w:tc>
          <w:tcPr>
            <w:tcW w:w="950" w:type="dxa"/>
            <w:gridSpan w:val="2"/>
            <w:hideMark/>
          </w:tcPr>
          <w:p w14:paraId="2D42E5F1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7A7C0FA9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0471C0AE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7A84A23B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7434C2A3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271BE492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attendance analysis, including north-south and gender division for the MA</w:t>
            </w:r>
          </w:p>
        </w:tc>
        <w:tc>
          <w:tcPr>
            <w:tcW w:w="950" w:type="dxa"/>
            <w:gridSpan w:val="2"/>
            <w:hideMark/>
          </w:tcPr>
          <w:p w14:paraId="741C8A88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05FB66EA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18A7DAE1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21253456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4D50AFFD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  <w:gridSpan w:val="3"/>
            <w:hideMark/>
          </w:tcPr>
          <w:p w14:paraId="2B7C4ECF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A provision of final report</w:t>
            </w:r>
          </w:p>
        </w:tc>
        <w:tc>
          <w:tcPr>
            <w:tcW w:w="950" w:type="dxa"/>
            <w:gridSpan w:val="2"/>
            <w:hideMark/>
          </w:tcPr>
          <w:p w14:paraId="5AE82321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1</w:t>
            </w:r>
          </w:p>
        </w:tc>
        <w:tc>
          <w:tcPr>
            <w:tcW w:w="1013" w:type="dxa"/>
          </w:tcPr>
          <w:p w14:paraId="16989137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</w:tcPr>
          <w:p w14:paraId="7607B7DB" w14:textId="77777777" w:rsidR="001E2ADE" w:rsidRPr="00A67B61" w:rsidRDefault="001E2ADE" w:rsidP="00EE37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:rsidRPr="00A67B61" w14:paraId="43B15B33" w14:textId="77777777" w:rsidTr="001E2ADE">
        <w:trPr>
          <w:trHeight w:val="315"/>
        </w:trPr>
        <w:tc>
          <w:tcPr>
            <w:tcW w:w="1561" w:type="dxa"/>
            <w:gridSpan w:val="2"/>
            <w:vMerge/>
            <w:hideMark/>
          </w:tcPr>
          <w:p w14:paraId="2B5590C0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5" w:type="dxa"/>
            <w:gridSpan w:val="6"/>
            <w:hideMark/>
          </w:tcPr>
          <w:p w14:paraId="38C02F4C" w14:textId="77777777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7B61">
              <w:rPr>
                <w:color w:val="000000"/>
              </w:rPr>
              <w:t>SUBTOTAL TASK 6: Supplying a provision of reporting and analysis</w:t>
            </w:r>
          </w:p>
        </w:tc>
        <w:tc>
          <w:tcPr>
            <w:tcW w:w="1017" w:type="dxa"/>
          </w:tcPr>
          <w:p w14:paraId="0C9ED07F" w14:textId="6B947101" w:rsidR="001E2ADE" w:rsidRPr="00A67B61" w:rsidRDefault="001E2ADE" w:rsidP="00EE3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ADE" w14:paraId="664EFF2C" w14:textId="77777777" w:rsidTr="004C2130">
        <w:tc>
          <w:tcPr>
            <w:tcW w:w="1561" w:type="dxa"/>
            <w:gridSpan w:val="2"/>
          </w:tcPr>
          <w:p w14:paraId="175F2548" w14:textId="0EB56905" w:rsidR="001E2ADE" w:rsidRPr="004C2130" w:rsidRDefault="004C2130" w:rsidP="00880D28">
            <w:pPr>
              <w:pStyle w:val="Headingblue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Other costs</w:t>
            </w:r>
          </w:p>
        </w:tc>
        <w:tc>
          <w:tcPr>
            <w:tcW w:w="4242" w:type="dxa"/>
            <w:gridSpan w:val="3"/>
            <w:shd w:val="clear" w:color="auto" w:fill="66FFFF"/>
          </w:tcPr>
          <w:p w14:paraId="38260B1B" w14:textId="5FF0BCA4" w:rsidR="001E2ADE" w:rsidRPr="004C2130" w:rsidRDefault="004C2130" w:rsidP="00880D28">
            <w:pPr>
              <w:pStyle w:val="Headingblue"/>
              <w:rPr>
                <w:b w:val="0"/>
                <w:sz w:val="20"/>
                <w:szCs w:val="20"/>
              </w:rPr>
            </w:pPr>
            <w:r w:rsidRPr="004C2130">
              <w:rPr>
                <w:b w:val="0"/>
                <w:color w:val="auto"/>
                <w:sz w:val="20"/>
                <w:szCs w:val="20"/>
              </w:rPr>
              <w:t>Please add if any</w:t>
            </w:r>
          </w:p>
        </w:tc>
        <w:tc>
          <w:tcPr>
            <w:tcW w:w="888" w:type="dxa"/>
          </w:tcPr>
          <w:p w14:paraId="2684DD62" w14:textId="77777777" w:rsidR="001E2ADE" w:rsidRDefault="001E2ADE" w:rsidP="00880D28">
            <w:pPr>
              <w:pStyle w:val="Headingblue"/>
              <w:rPr>
                <w:sz w:val="20"/>
                <w:szCs w:val="20"/>
              </w:rPr>
            </w:pPr>
          </w:p>
        </w:tc>
        <w:tc>
          <w:tcPr>
            <w:tcW w:w="1075" w:type="dxa"/>
            <w:gridSpan w:val="2"/>
          </w:tcPr>
          <w:p w14:paraId="522DB285" w14:textId="77777777" w:rsidR="001E2ADE" w:rsidRDefault="001E2ADE" w:rsidP="00880D28">
            <w:pPr>
              <w:pStyle w:val="Headingblue"/>
              <w:rPr>
                <w:sz w:val="20"/>
                <w:szCs w:val="20"/>
              </w:rPr>
            </w:pPr>
          </w:p>
        </w:tc>
        <w:tc>
          <w:tcPr>
            <w:tcW w:w="1017" w:type="dxa"/>
          </w:tcPr>
          <w:p w14:paraId="3E2681D1" w14:textId="77777777" w:rsidR="001E2ADE" w:rsidRDefault="001E2ADE" w:rsidP="00880D28">
            <w:pPr>
              <w:pStyle w:val="Headingblue"/>
              <w:rPr>
                <w:sz w:val="20"/>
                <w:szCs w:val="20"/>
              </w:rPr>
            </w:pPr>
          </w:p>
        </w:tc>
      </w:tr>
      <w:tr w:rsidR="004C2130" w14:paraId="176A5FE5" w14:textId="77777777" w:rsidTr="00871D02">
        <w:tc>
          <w:tcPr>
            <w:tcW w:w="7766" w:type="dxa"/>
            <w:gridSpan w:val="8"/>
          </w:tcPr>
          <w:p w14:paraId="7D788359" w14:textId="32011B17" w:rsidR="004C2130" w:rsidRDefault="004C2130" w:rsidP="004C2130">
            <w:pPr>
              <w:pStyle w:val="Headingblue"/>
              <w:jc w:val="right"/>
              <w:rPr>
                <w:sz w:val="20"/>
                <w:szCs w:val="20"/>
              </w:rPr>
            </w:pPr>
            <w:r w:rsidRPr="004C2130">
              <w:rPr>
                <w:color w:val="auto"/>
                <w:sz w:val="20"/>
                <w:szCs w:val="20"/>
              </w:rPr>
              <w:t>TOTAL COSTS in USD</w:t>
            </w:r>
          </w:p>
        </w:tc>
        <w:tc>
          <w:tcPr>
            <w:tcW w:w="1017" w:type="dxa"/>
          </w:tcPr>
          <w:p w14:paraId="1353F854" w14:textId="77777777" w:rsidR="004C2130" w:rsidRDefault="004C2130" w:rsidP="00880D28">
            <w:pPr>
              <w:pStyle w:val="Headingblue"/>
              <w:rPr>
                <w:sz w:val="20"/>
                <w:szCs w:val="20"/>
              </w:rPr>
            </w:pPr>
          </w:p>
        </w:tc>
      </w:tr>
    </w:tbl>
    <w:p w14:paraId="3FD410BA" w14:textId="11A6E957" w:rsidR="00434766" w:rsidRDefault="00434766" w:rsidP="00880D28">
      <w:pPr>
        <w:pStyle w:val="Headingblue"/>
        <w:rPr>
          <w:sz w:val="20"/>
          <w:szCs w:val="20"/>
        </w:rPr>
      </w:pPr>
    </w:p>
    <w:p w14:paraId="4B52794F" w14:textId="3C4A5D3F" w:rsidR="001E2ADE" w:rsidRDefault="001E2ADE" w:rsidP="00880D28">
      <w:pPr>
        <w:pStyle w:val="Headingblue"/>
        <w:rPr>
          <w:sz w:val="20"/>
          <w:szCs w:val="20"/>
        </w:rPr>
      </w:pPr>
      <w:bookmarkStart w:id="0" w:name="_GoBack"/>
      <w:bookmarkEnd w:id="0"/>
    </w:p>
    <w:p w14:paraId="0BE81826" w14:textId="77777777" w:rsidR="001E2ADE" w:rsidRPr="00AD2DE8" w:rsidRDefault="001E2ADE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proofErr w:type="gramStart"/>
      <w:r w:rsidRPr="00563018">
        <w:rPr>
          <w:color w:val="000000"/>
        </w:rPr>
        <w:t>%</w:t>
      </w:r>
      <w:proofErr w:type="gramEnd"/>
      <w:r w:rsidRPr="00563018">
        <w:rPr>
          <w:color w:val="000000"/>
        </w:rPr>
        <w:t xml:space="preserve">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 xml:space="preserve">ype of work </w:t>
      </w:r>
      <w:proofErr w:type="gramStart"/>
      <w:r>
        <w:t>being subcontracted</w:t>
      </w:r>
      <w:proofErr w:type="gramEnd"/>
      <w:r>
        <w:t>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E4C271A" w14:textId="49F25164" w:rsidR="00880D28" w:rsidRPr="00434766" w:rsidRDefault="00880D28" w:rsidP="00434766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I, the undersigned, certify that I </w:t>
      </w:r>
      <w:proofErr w:type="gramStart"/>
      <w:r w:rsidRPr="00731E3E">
        <w:rPr>
          <w:rFonts w:ascii="Arial" w:eastAsia="Calibri" w:hAnsi="Arial" w:cs="Arial"/>
          <w:color w:val="000000"/>
          <w:sz w:val="20"/>
          <w:lang w:val="en-AU"/>
        </w:rPr>
        <w:t>am duly authorized</w:t>
      </w:r>
      <w:proofErr w:type="gramEnd"/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6A4A63D7" w:rsidR="00880D28" w:rsidRDefault="00880D28" w:rsidP="00434766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2E53035" w14:textId="16D95B94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2B9B07EC" w14:textId="721954F7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0DD7965" w14:textId="6B702268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7E4E69E" w14:textId="7F6F565A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D50AE4F" w14:textId="431289D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93E8E6A" w14:textId="58269FB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CC93652" w14:textId="6DF517A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E9A0A4E" w14:textId="497CA602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DF96461" w14:textId="7092D37B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BC819DB" w14:textId="2ADEF57F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67CCBAC" w14:textId="032EDED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8274887" w14:textId="448ABDE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19A345AB" w14:textId="46A8DCA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726855B" w14:textId="1A3997C9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2E80BD88" w14:textId="35D5BE9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3FE2B74" w14:textId="5BFF15C2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3F2A19F" w14:textId="0D5DE237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5BC1C77" w14:textId="404C8E8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405751D" w14:textId="3054EF46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56C16CA" w14:textId="4D706C5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CF8D4D0" w14:textId="347C4E9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1FDEDB88" w14:textId="5E6FE1F0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53B8DF5" w14:textId="00175010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1967191B" w14:textId="780F6AF0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286830F" w14:textId="5D52F53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2955182" w14:textId="2DB5B578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2EFF8D71" w14:textId="6E7B599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D27EF36" w14:textId="1B80C878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69764C8" w14:textId="646803AA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5618EB7" w14:textId="3FE2121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EDC7396" w14:textId="7767086A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46BAC7DD" w14:textId="4A4E306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4A4710F" w14:textId="3DB6089B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B74FAA7" w14:textId="5AACDAC0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450E2F9" w14:textId="45659E23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66706E71" w14:textId="32C3BC1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1A133059" w14:textId="0EA48CA5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9B44E23" w14:textId="3212F82C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1CC76D81" w14:textId="0826FD00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AC4AF0F" w14:textId="40473ABF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7A5969E" w14:textId="3148CEC2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130B19B" w14:textId="692D0DDB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0796FB7" w14:textId="7EA7F954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0D14F4A5" w14:textId="6977AE94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2F715702" w14:textId="47F28751" w:rsidR="001E2ADE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3E3E0771" w14:textId="77777777" w:rsidR="001E2ADE" w:rsidRPr="00434766" w:rsidRDefault="001E2ADE" w:rsidP="00434766">
      <w:pPr>
        <w:tabs>
          <w:tab w:val="left" w:pos="990"/>
        </w:tabs>
        <w:rPr>
          <w:color w:val="000000"/>
          <w:lang w:val="en-AU"/>
        </w:rPr>
      </w:pPr>
    </w:p>
    <w:p w14:paraId="5867F819" w14:textId="1FF33431" w:rsidR="001E2ADE" w:rsidRPr="00244113" w:rsidRDefault="00880D28" w:rsidP="00880D28">
      <w:pPr>
        <w:pStyle w:val="Headline"/>
        <w:rPr>
          <w:color w:val="0092D1"/>
        </w:rPr>
      </w:pPr>
      <w:r w:rsidRPr="00244113">
        <w:rPr>
          <w:color w:val="0092D1"/>
        </w:rPr>
        <w:lastRenderedPageBreak/>
        <w:t>Form C: Technical Quotation Form</w:t>
      </w:r>
    </w:p>
    <w:p w14:paraId="4168E795" w14:textId="77777777" w:rsidR="00880D28" w:rsidRPr="00731E3E" w:rsidRDefault="00880D28" w:rsidP="00880D28"/>
    <w:p w14:paraId="2B03CB16" w14:textId="77777777" w:rsidR="001E2ADE" w:rsidRDefault="00880D28" w:rsidP="00880D28">
      <w:pPr>
        <w:pStyle w:val="BankNormal"/>
        <w:spacing w:after="60"/>
      </w:pPr>
      <w:r>
        <w:rPr>
          <w:rFonts w:ascii="Arial" w:hAnsi="Arial" w:cs="Arial"/>
          <w:iCs/>
          <w:sz w:val="20"/>
        </w:rPr>
        <w:t xml:space="preserve">RFQ reference no: </w:t>
      </w:r>
      <w:r w:rsidR="001E2ADE">
        <w:t>RFQ/2020/16387</w:t>
      </w:r>
    </w:p>
    <w:p w14:paraId="57504B1A" w14:textId="69E255D5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373EFD2E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</w:t>
      </w:r>
      <w:r w:rsidR="00943420">
        <w:t>ed</w:t>
      </w:r>
      <w:r>
        <w:t xml:space="preserve"> below. Bidders</w:t>
      </w:r>
      <w:r w:rsidRPr="000D07FB">
        <w:t xml:space="preserve"> </w:t>
      </w:r>
      <w:proofErr w:type="gramStart"/>
      <w:r w:rsidRPr="000D07FB">
        <w:t>are NOT allowed</w:t>
      </w:r>
      <w:proofErr w:type="gramEnd"/>
      <w:r w:rsidRPr="000D07FB">
        <w:t xml:space="preserve">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49C2E9EB" w14:textId="77777777" w:rsidR="00476D02" w:rsidRPr="00117A83" w:rsidRDefault="00476D02" w:rsidP="00880D28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2355C8CD" w14:textId="7F69B863" w:rsidR="00EE37AA" w:rsidRDefault="00EE37AA" w:rsidP="00EE37AA">
      <w:pPr>
        <w:rPr>
          <w:b/>
          <w:bCs/>
          <w:color w:val="000000"/>
          <w:lang w:val="en-US" w:eastAsia="en-US"/>
        </w:rPr>
      </w:pPr>
      <w:r w:rsidRPr="00EE37AA">
        <w:rPr>
          <w:b/>
          <w:bCs/>
          <w:color w:val="000000"/>
          <w:lang w:val="en-US" w:eastAsia="en-US"/>
        </w:rPr>
        <w:t>Technical specifications for services</w:t>
      </w:r>
      <w:proofErr w:type="gramStart"/>
      <w:r w:rsidRPr="00EE37AA">
        <w:rPr>
          <w:b/>
          <w:bCs/>
          <w:color w:val="000000"/>
          <w:lang w:val="en-US" w:eastAsia="en-US"/>
        </w:rPr>
        <w:t>  –</w:t>
      </w:r>
      <w:proofErr w:type="gramEnd"/>
      <w:r w:rsidRPr="00EE37AA">
        <w:rPr>
          <w:b/>
          <w:bCs/>
          <w:color w:val="000000"/>
          <w:lang w:val="en-US" w:eastAsia="en-US"/>
        </w:rPr>
        <w:t xml:space="preserve"> Comparative Data Table</w:t>
      </w:r>
    </w:p>
    <w:p w14:paraId="15D3B54A" w14:textId="77777777" w:rsidR="00452033" w:rsidRPr="00EE37AA" w:rsidRDefault="00452033" w:rsidP="00EE37AA">
      <w:pPr>
        <w:rPr>
          <w:rFonts w:ascii="Times New Roman" w:hAnsi="Times New Roman" w:cs="Times New Roman"/>
          <w:lang w:val="en-US" w:eastAsia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1"/>
        <w:gridCol w:w="2353"/>
        <w:gridCol w:w="2293"/>
      </w:tblGrid>
      <w:tr w:rsidR="00EE37AA" w:rsidRPr="00EE37AA" w14:paraId="5B260C6F" w14:textId="77777777" w:rsidTr="00925050">
        <w:trPr>
          <w:trHeight w:val="8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D051BBE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UNOPS minimum technical requirements:</w:t>
            </w:r>
            <w:r w:rsidRPr="00EE37AA">
              <w:rPr>
                <w:color w:val="000000"/>
                <w:lang w:val="en-US" w:eastAsia="en-US"/>
              </w:rPr>
              <w:t xml:space="preserve"> IATI MA and side event 2020, 30 November and 1-2 December, 2020, Online meeting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8061580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 xml:space="preserve">Is quotation compliant with technical requirements? </w:t>
            </w:r>
            <w:r w:rsidRPr="00EE37AA">
              <w:rPr>
                <w:color w:val="000000"/>
                <w:shd w:val="clear" w:color="auto" w:fill="C9DAF8"/>
                <w:lang w:val="en-US" w:eastAsia="en-US"/>
              </w:rPr>
              <w:t>Bidder to complete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C73A24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Details</w:t>
            </w:r>
          </w:p>
        </w:tc>
      </w:tr>
      <w:tr w:rsidR="00EE37AA" w:rsidRPr="00EE37AA" w14:paraId="716B0F3D" w14:textId="77777777" w:rsidTr="00452033">
        <w:trPr>
          <w:trHeight w:val="42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DB7DB7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Task 1: Meeting platform online and Audio-Visual Equipment, 1-2 December, 2020</w:t>
            </w:r>
          </w:p>
        </w:tc>
      </w:tr>
      <w:tr w:rsidR="00EE37AA" w:rsidRPr="00EE37AA" w14:paraId="19B3D5AA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3347B0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for a minimum of 200 </w:t>
            </w:r>
            <w:proofErr w:type="gramStart"/>
            <w:r w:rsidRPr="00EE37AA">
              <w:rPr>
                <w:color w:val="000000"/>
                <w:lang w:val="en-US" w:eastAsia="en-US"/>
              </w:rPr>
              <w:t>participants?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F610D6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94C931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C9DAF8"/>
                <w:lang w:val="en-US" w:eastAsia="en-US"/>
              </w:rPr>
              <w:t>Bidders to fill in this column</w:t>
            </w:r>
          </w:p>
        </w:tc>
      </w:tr>
      <w:tr w:rsidR="00EE37AA" w:rsidRPr="00EE37AA" w14:paraId="0165B643" w14:textId="77777777" w:rsidTr="00925050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3189B5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Platform allows multi language simultaneous translation (min 2 languages)</w:t>
            </w:r>
            <w:proofErr w:type="gramStart"/>
            <w:r w:rsidRPr="00EE37AA">
              <w:rPr>
                <w:color w:val="000000"/>
                <w:lang w:val="en-US" w:eastAsia="en-US"/>
              </w:rPr>
              <w:t>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20C6ED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204E8D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4ECB8C55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60DE243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Screen </w:t>
            </w:r>
            <w:proofErr w:type="gramStart"/>
            <w:r w:rsidRPr="00EE37AA">
              <w:rPr>
                <w:color w:val="000000"/>
                <w:lang w:val="en-US" w:eastAsia="en-US"/>
              </w:rPr>
              <w:t>Sharing?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DADE77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3960F0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6DCDA87E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1D37E54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Platform allows invitees as “observers/audience”</w:t>
            </w:r>
            <w:proofErr w:type="gramStart"/>
            <w:r w:rsidRPr="00EE37AA">
              <w:rPr>
                <w:color w:val="000000"/>
                <w:lang w:val="en-US" w:eastAsia="en-US"/>
              </w:rPr>
              <w:t>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9A25A7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475947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6DD9BE60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5C5CF01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“raise hand” </w:t>
            </w:r>
            <w:proofErr w:type="gramStart"/>
            <w:r w:rsidRPr="00EE37AA">
              <w:rPr>
                <w:color w:val="000000"/>
                <w:lang w:val="en-US" w:eastAsia="en-US"/>
              </w:rPr>
              <w:t>option?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0A31C21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C7ACB6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5A6A18C0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5695D2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Platforms allows chat (private and general)</w:t>
            </w:r>
            <w:proofErr w:type="gramStart"/>
            <w:r w:rsidRPr="00EE37AA">
              <w:rPr>
                <w:color w:val="000000"/>
                <w:lang w:val="en-US" w:eastAsia="en-US"/>
              </w:rPr>
              <w:t>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627EA80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45C0CF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02469147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344605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meeting video and audio </w:t>
            </w:r>
            <w:proofErr w:type="gramStart"/>
            <w:r w:rsidRPr="00EE37AA">
              <w:rPr>
                <w:color w:val="000000"/>
                <w:lang w:val="en-US" w:eastAsia="en-US"/>
              </w:rPr>
              <w:t>recording?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1315E6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DFF32A4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71AF762A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840002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polling/voting </w:t>
            </w:r>
            <w:proofErr w:type="gramStart"/>
            <w:r w:rsidRPr="00EE37AA">
              <w:rPr>
                <w:color w:val="000000"/>
                <w:lang w:val="en-US" w:eastAsia="en-US"/>
              </w:rPr>
              <w:t>system?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A5283D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A992F11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10E99ED1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355250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breakout groups/rooms for </w:t>
            </w:r>
            <w:proofErr w:type="gramStart"/>
            <w:r w:rsidRPr="00EE37AA">
              <w:rPr>
                <w:color w:val="000000"/>
                <w:lang w:val="en-US" w:eastAsia="en-US"/>
              </w:rPr>
              <w:t>alternatives?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47ACD2C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61DD10D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34816688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D7E692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can be used through a browser on a </w:t>
            </w:r>
            <w:proofErr w:type="gramStart"/>
            <w:r w:rsidRPr="00EE37AA">
              <w:rPr>
                <w:color w:val="000000"/>
                <w:lang w:val="en-US" w:eastAsia="en-US"/>
              </w:rPr>
              <w:t>computer 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594E3F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BFA8306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3F1D822A" w14:textId="77777777" w:rsidTr="00925050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34731B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online technical assistance during </w:t>
            </w:r>
            <w:proofErr w:type="gramStart"/>
            <w:r w:rsidRPr="00EE37AA">
              <w:rPr>
                <w:color w:val="000000"/>
                <w:lang w:val="en-US" w:eastAsia="en-US"/>
              </w:rPr>
              <w:t>meetings?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D4B302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883B0AD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23A986B9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A174A44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is user </w:t>
            </w:r>
            <w:proofErr w:type="gramStart"/>
            <w:r w:rsidRPr="00EE37AA">
              <w:rPr>
                <w:color w:val="000000"/>
                <w:lang w:val="en-US" w:eastAsia="en-US"/>
              </w:rPr>
              <w:t>friendly?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A88F7B6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393AEE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4EADE8D5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9A2208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does not require account </w:t>
            </w:r>
            <w:proofErr w:type="gramStart"/>
            <w:r w:rsidRPr="00EE37AA">
              <w:rPr>
                <w:color w:val="000000"/>
                <w:lang w:val="en-US" w:eastAsia="en-US"/>
              </w:rPr>
              <w:t>registration?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BC6B32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0D3F6C0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7BF1A3A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0CA1F5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</w:t>
            </w:r>
            <w:proofErr w:type="gramStart"/>
            <w:r w:rsidRPr="00EE37AA">
              <w:rPr>
                <w:color w:val="000000"/>
                <w:lang w:val="en-US" w:eastAsia="en-US"/>
              </w:rPr>
              <w:t>to connect</w:t>
            </w:r>
            <w:proofErr w:type="gramEnd"/>
            <w:r w:rsidRPr="00EE37AA">
              <w:rPr>
                <w:color w:val="000000"/>
                <w:lang w:val="en-US" w:eastAsia="en-US"/>
              </w:rPr>
              <w:t xml:space="preserve"> from home-based internet?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5218FB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3935F62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4389B9D9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95E04ED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</w:t>
            </w:r>
            <w:proofErr w:type="gramStart"/>
            <w:r w:rsidRPr="00EE37AA">
              <w:rPr>
                <w:color w:val="000000"/>
                <w:lang w:val="en-US" w:eastAsia="en-US"/>
              </w:rPr>
              <w:t>to connect</w:t>
            </w:r>
            <w:proofErr w:type="gramEnd"/>
            <w:r w:rsidRPr="00EE37AA">
              <w:rPr>
                <w:color w:val="000000"/>
                <w:lang w:val="en-US" w:eastAsia="en-US"/>
              </w:rPr>
              <w:t xml:space="preserve"> from mobile device?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6EFDA7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A9D671E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4BF1A4A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5AB8C68" w14:textId="0EEE0644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Platforms do not have </w:t>
            </w:r>
            <w:r w:rsidR="008A573B" w:rsidRPr="00EE37AA">
              <w:rPr>
                <w:color w:val="000000"/>
                <w:lang w:val="en-US" w:eastAsia="en-US"/>
              </w:rPr>
              <w:t>participants’ access</w:t>
            </w:r>
            <w:r w:rsidRPr="00EE37AA">
              <w:rPr>
                <w:color w:val="000000"/>
                <w:lang w:val="en-US" w:eastAsia="en-US"/>
              </w:rPr>
              <w:t xml:space="preserve"> restrictions due to security </w:t>
            </w:r>
            <w:proofErr w:type="gramStart"/>
            <w:r w:rsidR="008A573B" w:rsidRPr="00EE37AA">
              <w:rPr>
                <w:color w:val="000000"/>
                <w:lang w:val="en-US" w:eastAsia="en-US"/>
              </w:rPr>
              <w:t>measures</w:t>
            </w:r>
            <w:r w:rsidR="008A573B">
              <w:rPr>
                <w:color w:val="000000"/>
                <w:lang w:val="en-US" w:eastAsia="en-US"/>
              </w:rPr>
              <w:t>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1362BB3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6375B8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04A4D8FA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2607754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lastRenderedPageBreak/>
              <w:t xml:space="preserve">Platforms allows </w:t>
            </w:r>
            <w:proofErr w:type="gramStart"/>
            <w:r w:rsidRPr="00EE37AA">
              <w:rPr>
                <w:color w:val="000000"/>
                <w:lang w:val="en-US" w:eastAsia="en-US"/>
              </w:rPr>
              <w:t>to have</w:t>
            </w:r>
            <w:proofErr w:type="gramEnd"/>
            <w:r w:rsidRPr="00EE37AA">
              <w:rPr>
                <w:color w:val="000000"/>
                <w:lang w:val="en-US" w:eastAsia="en-US"/>
              </w:rPr>
              <w:t xml:space="preserve"> meeting “co-hosts”?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9CEA151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70F650F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29A61F70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324B13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for online document </w:t>
            </w:r>
            <w:proofErr w:type="gramStart"/>
            <w:r w:rsidRPr="00EE37AA">
              <w:rPr>
                <w:color w:val="000000"/>
                <w:lang w:val="en-US" w:eastAsia="en-US"/>
              </w:rPr>
              <w:t>sharing?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1AF158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4DA66C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5365D56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510CD2C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Platforms ensure high security standards for </w:t>
            </w:r>
            <w:proofErr w:type="gramStart"/>
            <w:r w:rsidRPr="00EE37AA">
              <w:rPr>
                <w:color w:val="000000"/>
                <w:lang w:val="en-US" w:eastAsia="en-US"/>
              </w:rPr>
              <w:t>users?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09C07BF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0CE2006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72C12278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1A797FE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visualization of number of </w:t>
            </w:r>
            <w:proofErr w:type="gramStart"/>
            <w:r w:rsidRPr="00EE37AA">
              <w:rPr>
                <w:color w:val="000000"/>
                <w:lang w:val="en-US" w:eastAsia="en-US"/>
              </w:rPr>
              <w:t>participants?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57EA66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6C2303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26C0CC67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6544A0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</w:t>
            </w:r>
            <w:proofErr w:type="gramStart"/>
            <w:r w:rsidRPr="00EE37AA">
              <w:rPr>
                <w:color w:val="000000"/>
                <w:lang w:val="en-US" w:eastAsia="en-US"/>
              </w:rPr>
              <w:t>to share</w:t>
            </w:r>
            <w:proofErr w:type="gramEnd"/>
            <w:r w:rsidRPr="00EE37AA">
              <w:rPr>
                <w:color w:val="000000"/>
                <w:lang w:val="en-US" w:eastAsia="en-US"/>
              </w:rPr>
              <w:t xml:space="preserve"> links to external documents?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AA8F93D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F6E550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D47E16D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D6E639C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allows min. 6 participants in the head </w:t>
            </w:r>
            <w:proofErr w:type="gramStart"/>
            <w:r w:rsidRPr="00EE37AA">
              <w:rPr>
                <w:color w:val="000000"/>
                <w:lang w:val="en-US" w:eastAsia="en-US"/>
              </w:rPr>
              <w:t>table?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1EF0297F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E74AE1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0B7D9DFF" w14:textId="77777777" w:rsidTr="00925050">
        <w:trPr>
          <w:trHeight w:val="34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A0059D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Platform requires specific online web </w:t>
            </w:r>
            <w:proofErr w:type="gramStart"/>
            <w:r w:rsidRPr="00EE37AA">
              <w:rPr>
                <w:color w:val="000000"/>
                <w:lang w:val="en-US" w:eastAsia="en-US"/>
              </w:rPr>
              <w:t>browser?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B042AE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9EEDC12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13BD012" w14:textId="77777777" w:rsidTr="00925050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22F1FC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The offered Platform has been previously used for other United Nations </w:t>
            </w:r>
            <w:proofErr w:type="gramStart"/>
            <w:r w:rsidRPr="00EE37AA">
              <w:rPr>
                <w:color w:val="000000"/>
                <w:lang w:val="en-US" w:eastAsia="en-US"/>
              </w:rPr>
              <w:t>meetings?</w:t>
            </w:r>
            <w:proofErr w:type="gramEnd"/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0AA532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144A35C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Bidders to fill in this column</w:t>
            </w:r>
          </w:p>
        </w:tc>
      </w:tr>
      <w:tr w:rsidR="00EE37AA" w:rsidRPr="00EE37AA" w14:paraId="5F8B2159" w14:textId="77777777" w:rsidTr="00EE37AA">
        <w:trPr>
          <w:trHeight w:val="600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A6BD"/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7EAA1F99" w14:textId="0BBA9BEF" w:rsidR="00EE37AA" w:rsidRPr="00EE37AA" w:rsidRDefault="00EE37AA" w:rsidP="00925050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Task 2: Supplying simultaneous interpretation services (</w:t>
            </w:r>
            <w:proofErr w:type="spellStart"/>
            <w:r w:rsidRPr="00EE37AA">
              <w:rPr>
                <w:b/>
                <w:bCs/>
                <w:color w:val="000000"/>
                <w:lang w:val="en-US" w:eastAsia="en-US"/>
              </w:rPr>
              <w:t>french-english</w:t>
            </w:r>
            <w:proofErr w:type="spellEnd"/>
            <w:r w:rsidRPr="00EE37AA">
              <w:rPr>
                <w:b/>
                <w:bCs/>
                <w:color w:val="000000"/>
                <w:lang w:val="en-US" w:eastAsia="en-US"/>
              </w:rPr>
              <w:t xml:space="preserve"> and </w:t>
            </w:r>
            <w:proofErr w:type="spellStart"/>
            <w:r w:rsidRPr="00EE37AA">
              <w:rPr>
                <w:b/>
                <w:bCs/>
                <w:color w:val="000000"/>
                <w:lang w:val="en-US" w:eastAsia="en-US"/>
              </w:rPr>
              <w:t>english-french</w:t>
            </w:r>
            <w:proofErr w:type="spellEnd"/>
            <w:r w:rsidRPr="00EE37AA">
              <w:rPr>
                <w:b/>
                <w:bCs/>
                <w:color w:val="000000"/>
                <w:lang w:val="en-US" w:eastAsia="en-US"/>
              </w:rPr>
              <w:t>) for 1-2 December, 2020</w:t>
            </w:r>
            <w:r w:rsidR="00925050">
              <w:rPr>
                <w:b/>
                <w:bCs/>
                <w:color w:val="000000"/>
                <w:lang w:val="en-US" w:eastAsia="en-US"/>
              </w:rPr>
              <w:t xml:space="preserve"> </w:t>
            </w:r>
            <w:r w:rsidR="00925050" w:rsidRPr="001E2ADE">
              <w:rPr>
                <w:b/>
                <w:color w:val="000000"/>
                <w:lang w:val="en-US" w:eastAsia="en-US"/>
              </w:rPr>
              <w:t>and side event 30 November 2020</w:t>
            </w:r>
            <w:r w:rsidR="00925050">
              <w:rPr>
                <w:color w:val="000000"/>
                <w:lang w:val="en-US" w:eastAsia="en-US"/>
              </w:rPr>
              <w:t>,</w:t>
            </w:r>
            <w:r w:rsidRPr="00EE37AA">
              <w:rPr>
                <w:b/>
                <w:bCs/>
                <w:color w:val="000000"/>
                <w:lang w:val="en-US" w:eastAsia="en-US"/>
              </w:rPr>
              <w:t xml:space="preserve"> and the caucus meetings</w:t>
            </w:r>
          </w:p>
        </w:tc>
      </w:tr>
      <w:tr w:rsidR="00EE37AA" w:rsidRPr="00EE37AA" w14:paraId="251703FD" w14:textId="77777777" w:rsidTr="00925050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8B3B68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 xml:space="preserve">Provision of simultaneous interpretation services from English into French and French into English - </w:t>
            </w:r>
            <w:r w:rsidRPr="00EE37AA">
              <w:rPr>
                <w:b/>
                <w:bCs/>
                <w:i/>
                <w:iCs/>
                <w:color w:val="000000"/>
                <w:lang w:val="en-US" w:eastAsia="en-US"/>
              </w:rPr>
              <w:t>retour interpretation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3372EA16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5A8B17A5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27EDDAAF" w14:textId="77777777" w:rsidTr="00925050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F00BBBA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</w:p>
          <w:p w14:paraId="5A2EBEF6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Any previous experience with other United Nations online meetings?</w:t>
            </w:r>
          </w:p>
        </w:tc>
        <w:tc>
          <w:tcPr>
            <w:tcW w:w="2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E60CEE4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2EDCD6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</w:tbl>
    <w:p w14:paraId="6AEB4590" w14:textId="77777777" w:rsidR="00EE37AA" w:rsidRPr="00EE37AA" w:rsidRDefault="00EE37AA" w:rsidP="00EE37AA">
      <w:pPr>
        <w:rPr>
          <w:rFonts w:ascii="Times New Roman" w:hAnsi="Times New Roman" w:cs="Times New Roman"/>
          <w:lang w:val="en-US" w:eastAsia="en-US"/>
        </w:rPr>
      </w:pPr>
    </w:p>
    <w:p w14:paraId="5ED884EB" w14:textId="77777777" w:rsidR="00EE37AA" w:rsidRPr="00EE37AA" w:rsidRDefault="00EE37AA" w:rsidP="00EE37AA">
      <w:pPr>
        <w:spacing w:before="240" w:after="240"/>
        <w:rPr>
          <w:rFonts w:ascii="Times New Roman" w:hAnsi="Times New Roman" w:cs="Times New Roman"/>
          <w:lang w:val="en-US" w:eastAsia="en-US"/>
        </w:rPr>
      </w:pPr>
      <w:r w:rsidRPr="00EE37AA">
        <w:rPr>
          <w:b/>
          <w:bCs/>
          <w:color w:val="000000"/>
          <w:lang w:val="en-US" w:eastAsia="en-US"/>
        </w:rPr>
        <w:t>Delivery requirements and Comparative Data Table: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1"/>
        <w:gridCol w:w="3454"/>
        <w:gridCol w:w="2410"/>
        <w:gridCol w:w="2232"/>
      </w:tblGrid>
      <w:tr w:rsidR="00EE37AA" w:rsidRPr="00EE37AA" w14:paraId="48B961C7" w14:textId="77777777" w:rsidTr="00925050">
        <w:trPr>
          <w:trHeight w:val="600"/>
        </w:trPr>
        <w:tc>
          <w:tcPr>
            <w:tcW w:w="5095" w:type="dxa"/>
            <w:gridSpan w:val="2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A6BD"/>
            <w:tcMar>
              <w:top w:w="40" w:type="dxa"/>
              <w:left w:w="0" w:type="dxa"/>
              <w:bottom w:w="40" w:type="dxa"/>
              <w:right w:w="0" w:type="dxa"/>
            </w:tcMar>
            <w:vAlign w:val="bottom"/>
            <w:hideMark/>
          </w:tcPr>
          <w:p w14:paraId="337022E2" w14:textId="77777777" w:rsidR="00EE37AA" w:rsidRPr="00EE37AA" w:rsidRDefault="00EE37AA" w:rsidP="00EE37AA">
            <w:pPr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UNOPS Requirements</w:t>
            </w:r>
          </w:p>
          <w:p w14:paraId="6FF70713" w14:textId="77777777" w:rsidR="00EE37AA" w:rsidRPr="00EE37AA" w:rsidRDefault="00EE37AA" w:rsidP="00EE37AA">
            <w:pPr>
              <w:spacing w:after="240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A6BD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2D74EF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Is quotation compliant? </w:t>
            </w:r>
          </w:p>
          <w:p w14:paraId="48FD9606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 to complete</w:t>
            </w:r>
          </w:p>
        </w:tc>
        <w:tc>
          <w:tcPr>
            <w:tcW w:w="223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A6BD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43714FDA" w14:textId="77777777" w:rsidR="00EE37AA" w:rsidRPr="00EE37AA" w:rsidRDefault="00EE37AA" w:rsidP="00EE37AA">
            <w:pPr>
              <w:spacing w:before="240" w:after="240"/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b/>
                <w:bCs/>
                <w:color w:val="000000"/>
                <w:lang w:val="en-US" w:eastAsia="en-US"/>
              </w:rPr>
              <w:t>Details</w:t>
            </w:r>
          </w:p>
          <w:p w14:paraId="6D1138B5" w14:textId="77777777" w:rsidR="00EE37AA" w:rsidRPr="00EE37AA" w:rsidRDefault="00EE37AA" w:rsidP="00EE37AA">
            <w:pPr>
              <w:spacing w:before="240" w:after="240"/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 to complete</w:t>
            </w:r>
          </w:p>
        </w:tc>
      </w:tr>
      <w:tr w:rsidR="00EE37AA" w:rsidRPr="00EE37AA" w14:paraId="731169E1" w14:textId="77777777" w:rsidTr="00925050">
        <w:trPr>
          <w:trHeight w:val="7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AE8EA0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Delivery time</w:t>
            </w:r>
          </w:p>
        </w:tc>
        <w:tc>
          <w:tcPr>
            <w:tcW w:w="3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4670D79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Bidder shall deliver the goods after receipt of Contract for small services.</w:t>
            </w:r>
            <w:r w:rsidRPr="00EE37AA">
              <w:rPr>
                <w:b/>
                <w:bCs/>
                <w:i/>
                <w:iCs/>
                <w:color w:val="000000"/>
                <w:lang w:val="en-US" w:eastAsia="en-US"/>
              </w:rPr>
              <w:t> 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07CA942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69761BB2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  <w:tr w:rsidR="00EE37AA" w:rsidRPr="00EE37AA" w14:paraId="5F69DA26" w14:textId="77777777" w:rsidTr="00925050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E17E45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UNOPS Right to vary requirements</w:t>
            </w:r>
          </w:p>
        </w:tc>
        <w:tc>
          <w:tcPr>
            <w:tcW w:w="3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5A06E91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lang w:val="en-US" w:eastAsia="en-US"/>
              </w:rPr>
              <w:t>At the time the Contract is awarded, UNOPS reserves the right to vary the quantity of the goods and associated services specified above, provided this does not exceed +/- 20</w:t>
            </w:r>
            <w:proofErr w:type="gramStart"/>
            <w:r w:rsidRPr="00EE37AA">
              <w:rPr>
                <w:color w:val="000000"/>
                <w:lang w:val="en-US" w:eastAsia="en-US"/>
              </w:rPr>
              <w:t>% ,</w:t>
            </w:r>
            <w:proofErr w:type="gramEnd"/>
            <w:r w:rsidRPr="00EE37AA">
              <w:rPr>
                <w:color w:val="000000"/>
                <w:lang w:val="en-US" w:eastAsia="en-US"/>
              </w:rPr>
              <w:t xml:space="preserve"> without any change in the unit prices or other terms and conditions of the RFQ.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26BEA617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Yes </w:t>
            </w:r>
            <w:r w:rsidRPr="00EE37AA">
              <w:rPr>
                <w:rFonts w:ascii="Segoe UI Symbol" w:hAnsi="Segoe UI Symbol" w:cs="Segoe UI Symbol"/>
                <w:color w:val="000000"/>
                <w:lang w:val="en-US" w:eastAsia="en-US"/>
              </w:rPr>
              <w:t>☐</w:t>
            </w:r>
            <w:r w:rsidRPr="00EE37AA">
              <w:rPr>
                <w:color w:val="000000"/>
                <w:lang w:val="en-US" w:eastAsia="en-US"/>
              </w:rPr>
              <w:t xml:space="preserve"> No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14:paraId="7AF68C1B" w14:textId="77777777" w:rsidR="00EE37AA" w:rsidRPr="00EE37AA" w:rsidRDefault="00EE37AA" w:rsidP="00EE37AA">
            <w:pPr>
              <w:rPr>
                <w:rFonts w:ascii="Times New Roman" w:hAnsi="Times New Roman" w:cs="Times New Roman"/>
                <w:lang w:val="en-US" w:eastAsia="en-US"/>
              </w:rPr>
            </w:pPr>
            <w:r w:rsidRPr="00EE37AA">
              <w:rPr>
                <w:color w:val="000000"/>
                <w:shd w:val="clear" w:color="auto" w:fill="D0E0E3"/>
                <w:lang w:val="en-US" w:eastAsia="en-US"/>
              </w:rPr>
              <w:t>Bidders to fill in this column</w:t>
            </w:r>
          </w:p>
        </w:tc>
      </w:tr>
    </w:tbl>
    <w:p w14:paraId="495A6BE3" w14:textId="36DD1D96" w:rsidR="00880D28" w:rsidRPr="00EE37AA" w:rsidRDefault="00880D28" w:rsidP="00EE37AA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b/>
          <w:color w:val="FFFFFF"/>
          <w:sz w:val="22"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</w:t>
      </w:r>
      <w:proofErr w:type="gramStart"/>
      <w:r w:rsidRPr="00DB754F">
        <w:rPr>
          <w:iCs/>
        </w:rPr>
        <w:t xml:space="preserve">are in accordance with the required specifications and </w:t>
      </w:r>
      <w:r>
        <w:rPr>
          <w:iCs/>
        </w:rPr>
        <w:t>requirements specified</w:t>
      </w:r>
      <w:proofErr w:type="gramEnd"/>
      <w:r>
        <w:rPr>
          <w:iCs/>
        </w:rPr>
        <w:t xml:space="preserve">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 xml:space="preserve">ANY DEVIATION </w:t>
      </w:r>
      <w:proofErr w:type="gramStart"/>
      <w:r w:rsidRPr="00731E3E">
        <w:t>MUST BE LISTED</w:t>
      </w:r>
      <w:proofErr w:type="gramEnd"/>
      <w:r w:rsidRPr="00731E3E">
        <w:t xml:space="preserve"> BELOW:</w:t>
      </w:r>
    </w:p>
    <w:p w14:paraId="37186CF6" w14:textId="77777777" w:rsidR="00880D28" w:rsidRPr="00731E3E" w:rsidRDefault="00880D28" w:rsidP="00880D28">
      <w:r w:rsidRPr="00731E3E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Pr="00244113" w:rsidRDefault="00880D28" w:rsidP="00880D28">
      <w:pPr>
        <w:pStyle w:val="Heading1"/>
        <w:rPr>
          <w:rFonts w:cs="Times New Roman"/>
          <w:color w:val="0092D1"/>
          <w:szCs w:val="24"/>
        </w:rPr>
      </w:pPr>
      <w:r w:rsidRPr="00244113">
        <w:rPr>
          <w:rFonts w:cs="Times New Roman"/>
          <w:color w:val="0092D1"/>
          <w:szCs w:val="24"/>
        </w:rPr>
        <w:lastRenderedPageBreak/>
        <w:t xml:space="preserve">Form D: Previous </w:t>
      </w:r>
      <w:r w:rsidR="002041BE" w:rsidRPr="00244113">
        <w:rPr>
          <w:rFonts w:cs="Times New Roman"/>
          <w:color w:val="0092D1"/>
          <w:szCs w:val="24"/>
        </w:rPr>
        <w:t>E</w:t>
      </w:r>
      <w:r w:rsidRPr="00244113">
        <w:rPr>
          <w:rFonts w:cs="Times New Roman"/>
          <w:color w:val="0092D1"/>
          <w:szCs w:val="24"/>
        </w:rPr>
        <w:t xml:space="preserve">xperience </w:t>
      </w:r>
      <w:r w:rsidR="002041BE" w:rsidRPr="00244113">
        <w:rPr>
          <w:rFonts w:cs="Times New Roman"/>
          <w:color w:val="0092D1"/>
          <w:szCs w:val="24"/>
        </w:rPr>
        <w:t>F</w:t>
      </w:r>
      <w:r w:rsidRPr="00244113">
        <w:rPr>
          <w:rFonts w:cs="Times New Roman"/>
          <w:color w:val="0092D1"/>
          <w:szCs w:val="24"/>
        </w:rPr>
        <w:t>orm</w:t>
      </w:r>
    </w:p>
    <w:p w14:paraId="48364E01" w14:textId="77777777" w:rsidR="00880D28" w:rsidRDefault="00880D28" w:rsidP="00880D28"/>
    <w:p w14:paraId="6A3FCB4A" w14:textId="367A2420" w:rsidR="00823A0C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="001E2ADE">
        <w:t>RFQ/2020/16387</w:t>
      </w:r>
    </w:p>
    <w:p w14:paraId="56E79301" w14:textId="169EEEE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8C244C" w14:textId="77777777" w:rsidR="00AD7055" w:rsidRDefault="00AD7055">
      <w:r>
        <w:separator/>
      </w:r>
    </w:p>
  </w:endnote>
  <w:endnote w:type="continuationSeparator" w:id="0">
    <w:p w14:paraId="21692A90" w14:textId="77777777" w:rsidR="00AD7055" w:rsidRDefault="00AD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Arial"/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5E26AA1D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6BA19A74" w14:textId="2889EFAA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4C2130">
            <w:rPr>
              <w:rFonts w:ascii="Arial" w:hAnsi="Arial"/>
              <w:noProof/>
              <w:sz w:val="18"/>
              <w:szCs w:val="18"/>
            </w:rPr>
            <w:t>9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19522" w14:textId="77777777" w:rsidR="00AD7055" w:rsidRDefault="00AD7055">
      <w:r>
        <w:separator/>
      </w:r>
    </w:p>
  </w:footnote>
  <w:footnote w:type="continuationSeparator" w:id="0">
    <w:p w14:paraId="21F338D3" w14:textId="77777777" w:rsidR="00AD7055" w:rsidRDefault="00AD70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67E57C58" w:rsidR="0059057B" w:rsidRPr="0012051A" w:rsidRDefault="00244113" w:rsidP="00A64EA4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9E024B7" wp14:editId="3686B8FF">
                <wp:simplePos x="0" y="0"/>
                <wp:positionH relativeFrom="column">
                  <wp:posOffset>4445</wp:posOffset>
                </wp:positionH>
                <wp:positionV relativeFrom="paragraph">
                  <wp:posOffset>-43815</wp:posOffset>
                </wp:positionV>
                <wp:extent cx="1477645" cy="215900"/>
                <wp:effectExtent l="0" t="0" r="8255" b="0"/>
                <wp:wrapNone/>
                <wp:docPr id="1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 descr="Description: UNOPS_logo_200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76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821519">
            <w:rPr>
              <w:rFonts w:ascii="Arial" w:hAnsi="Arial"/>
              <w:sz w:val="18"/>
              <w:szCs w:val="18"/>
            </w:rPr>
            <w:t>UNOPS eSourcing v201</w:t>
          </w:r>
          <w:r w:rsidR="00A64EA4">
            <w:rPr>
              <w:rFonts w:ascii="Arial" w:hAnsi="Arial"/>
              <w:sz w:val="18"/>
              <w:szCs w:val="18"/>
            </w:rPr>
            <w:t>7</w:t>
          </w:r>
          <w:r w:rsidR="00821519"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B938" w14:textId="49BA0C7E" w:rsidR="0059057B" w:rsidRDefault="0059057B">
    <w:pPr>
      <w:pStyle w:val="Header"/>
    </w:pPr>
    <w:r w:rsidRPr="00A1644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730"/>
    <w:rsid w:val="00013E3C"/>
    <w:rsid w:val="00015650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06E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5171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11D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B5B"/>
    <w:rsid w:val="001D7DC0"/>
    <w:rsid w:val="001E1E02"/>
    <w:rsid w:val="001E2ADE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0778C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113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3F19"/>
    <w:rsid w:val="00266E90"/>
    <w:rsid w:val="0027189F"/>
    <w:rsid w:val="00274776"/>
    <w:rsid w:val="0027521D"/>
    <w:rsid w:val="00276C54"/>
    <w:rsid w:val="00281B61"/>
    <w:rsid w:val="00281E51"/>
    <w:rsid w:val="00283E56"/>
    <w:rsid w:val="00286B91"/>
    <w:rsid w:val="00286D19"/>
    <w:rsid w:val="002910CC"/>
    <w:rsid w:val="00291F17"/>
    <w:rsid w:val="002935B9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4543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071C1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34766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033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76D02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130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41B"/>
    <w:rsid w:val="006475EF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65C8C"/>
    <w:rsid w:val="00667B7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5619"/>
    <w:rsid w:val="007D6B69"/>
    <w:rsid w:val="007E1043"/>
    <w:rsid w:val="007E4A9A"/>
    <w:rsid w:val="007E51BE"/>
    <w:rsid w:val="007F0728"/>
    <w:rsid w:val="007F156A"/>
    <w:rsid w:val="007F2E73"/>
    <w:rsid w:val="007F35A5"/>
    <w:rsid w:val="007F36E6"/>
    <w:rsid w:val="007F3B08"/>
    <w:rsid w:val="007F3DB4"/>
    <w:rsid w:val="007F46EB"/>
    <w:rsid w:val="007F4B9C"/>
    <w:rsid w:val="007F53EE"/>
    <w:rsid w:val="007F70D0"/>
    <w:rsid w:val="008004F1"/>
    <w:rsid w:val="00801C8C"/>
    <w:rsid w:val="00802C7A"/>
    <w:rsid w:val="008040E9"/>
    <w:rsid w:val="00806563"/>
    <w:rsid w:val="00813B17"/>
    <w:rsid w:val="0081429B"/>
    <w:rsid w:val="00814409"/>
    <w:rsid w:val="00815B15"/>
    <w:rsid w:val="0081697C"/>
    <w:rsid w:val="00821519"/>
    <w:rsid w:val="00823A0C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573B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25050"/>
    <w:rsid w:val="0093384C"/>
    <w:rsid w:val="00933BF0"/>
    <w:rsid w:val="009353F1"/>
    <w:rsid w:val="00935702"/>
    <w:rsid w:val="00936F21"/>
    <w:rsid w:val="009376F5"/>
    <w:rsid w:val="00941DF1"/>
    <w:rsid w:val="00943420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4EA4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86D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D7055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03F15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38C"/>
    <w:rsid w:val="00CA2C52"/>
    <w:rsid w:val="00CA7751"/>
    <w:rsid w:val="00CA7DF3"/>
    <w:rsid w:val="00CB1B9D"/>
    <w:rsid w:val="00CB2DE1"/>
    <w:rsid w:val="00CB4433"/>
    <w:rsid w:val="00CB46EC"/>
    <w:rsid w:val="00CC15AF"/>
    <w:rsid w:val="00CC3852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3E1"/>
    <w:rsid w:val="00D058B4"/>
    <w:rsid w:val="00D177C4"/>
    <w:rsid w:val="00D23517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422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77F9D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37AA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7F2"/>
    <w:rsid w:val="00F50A68"/>
    <w:rsid w:val="00F52B44"/>
    <w:rsid w:val="00F5367B"/>
    <w:rsid w:val="00F536B7"/>
    <w:rsid w:val="00F546A8"/>
    <w:rsid w:val="00F56E5A"/>
    <w:rsid w:val="00F57CE4"/>
    <w:rsid w:val="00F60366"/>
    <w:rsid w:val="00F6130B"/>
    <w:rsid w:val="00F63FFF"/>
    <w:rsid w:val="00F65FBE"/>
    <w:rsid w:val="00F67507"/>
    <w:rsid w:val="00F67954"/>
    <w:rsid w:val="00F705B9"/>
    <w:rsid w:val="00F722FD"/>
    <w:rsid w:val="00F72D5A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1A6432B0-5CFD-48E3-BB40-E1B5B9C4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  <w:style w:type="character" w:customStyle="1" w:styleId="tenderreference">
    <w:name w:val="tenderreference"/>
    <w:basedOn w:val="DefaultParagraphFont"/>
    <w:rsid w:val="00823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6E72A55-F88F-481F-A2DF-10B6BE5BF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2086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13950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Marija PAVLOVIC</cp:lastModifiedBy>
  <cp:revision>4</cp:revision>
  <cp:lastPrinted>2020-10-13T20:32:00Z</cp:lastPrinted>
  <dcterms:created xsi:type="dcterms:W3CDTF">2020-10-13T18:26:00Z</dcterms:created>
  <dcterms:modified xsi:type="dcterms:W3CDTF">2020-10-13T20:32:00Z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