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D9D" w:rsidRDefault="00B31A6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rFonts w:eastAsia="Arial"/>
          <w:b/>
          <w:color w:val="0092D1"/>
          <w:sz w:val="28"/>
          <w:szCs w:val="28"/>
        </w:rPr>
      </w:pPr>
      <w:bookmarkStart w:id="0" w:name="_GoBack"/>
      <w:bookmarkEnd w:id="0"/>
      <w:r>
        <w:rPr>
          <w:rFonts w:eastAsia="Arial"/>
          <w:b/>
          <w:color w:val="0092D1"/>
          <w:sz w:val="28"/>
          <w:szCs w:val="28"/>
        </w:rPr>
        <w:t xml:space="preserve">Annex </w:t>
      </w:r>
      <w:r>
        <w:rPr>
          <w:b/>
          <w:color w:val="0092D1"/>
          <w:sz w:val="28"/>
          <w:szCs w:val="28"/>
        </w:rPr>
        <w:t>I</w:t>
      </w:r>
      <w:r>
        <w:rPr>
          <w:rFonts w:eastAsia="Arial"/>
          <w:b/>
          <w:color w:val="0092D1"/>
          <w:sz w:val="28"/>
          <w:szCs w:val="28"/>
        </w:rPr>
        <w:t xml:space="preserve"> – BIDDER FINANCIAL CAPACITY COVER PAGE</w:t>
      </w:r>
    </w:p>
    <w:p w:rsidR="00570D9D" w:rsidRDefault="00570D9D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Arial"/>
          <w:color w:val="000000"/>
        </w:rPr>
      </w:pPr>
    </w:p>
    <w:p w:rsidR="00570D9D" w:rsidRDefault="00B31A68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Arial"/>
          <w:color w:val="000000"/>
        </w:rPr>
      </w:pPr>
      <w:r>
        <w:rPr>
          <w:rFonts w:eastAsia="Arial"/>
          <w:color w:val="000000"/>
        </w:rPr>
        <w:t>ITB reference no</w:t>
      </w:r>
      <w:r>
        <w:rPr>
          <w:rFonts w:ascii="Times New Roman" w:hAnsi="Times New Roman" w:cs="Times New Roman"/>
          <w:b/>
          <w:color w:val="000000"/>
        </w:rPr>
        <w:t xml:space="preserve">: </w:t>
      </w:r>
      <w:r>
        <w:rPr>
          <w:rFonts w:eastAsia="Arial"/>
          <w:b/>
          <w:color w:val="000000"/>
        </w:rPr>
        <w:t>ITB/2020/14779</w:t>
      </w:r>
    </w:p>
    <w:p w:rsidR="00570D9D" w:rsidRDefault="00B31A68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Name of Bidder: </w:t>
      </w:r>
      <w:r>
        <w:rPr>
          <w:rFonts w:eastAsia="Arial"/>
          <w:color w:val="000000"/>
          <w:highlight w:val="cyan"/>
        </w:rPr>
        <w:t>[insert name of bidder]</w:t>
      </w:r>
    </w:p>
    <w:p w:rsidR="00570D9D" w:rsidRDefault="00570D9D"/>
    <w:p w:rsidR="00570D9D" w:rsidRDefault="00B31A68">
      <w:r>
        <w:t xml:space="preserve">Bidders shall fill in this Financial Capacity Cover Page in accordance with the instructions indicated. </w:t>
      </w:r>
    </w:p>
    <w:p w:rsidR="00570D9D" w:rsidRDefault="00570D9D"/>
    <w:p w:rsidR="00570D9D" w:rsidRDefault="00B31A68">
      <w:r>
        <w:t>Financial Statements for the past three (3) years with the present cover indicating Liquidity/ Quick Ratio.  (Audited Financial Statements for 2016, 2017 and 2018 (in lieu of 2017, 2018 and 2019) are acceptable in case the Financial Statements for 2019 are</w:t>
      </w:r>
      <w:r>
        <w:t xml:space="preserve"> not yet finalized) must be attached.</w:t>
      </w:r>
    </w:p>
    <w:p w:rsidR="00570D9D" w:rsidRDefault="00570D9D"/>
    <w:tbl>
      <w:tblPr>
        <w:tblStyle w:val="a"/>
        <w:tblW w:w="9009" w:type="dxa"/>
        <w:tblLayout w:type="fixed"/>
        <w:tblLook w:val="0400" w:firstRow="0" w:lastRow="0" w:firstColumn="0" w:lastColumn="0" w:noHBand="0" w:noVBand="1"/>
      </w:tblPr>
      <w:tblGrid>
        <w:gridCol w:w="2558"/>
        <w:gridCol w:w="2272"/>
        <w:gridCol w:w="1800"/>
        <w:gridCol w:w="825"/>
        <w:gridCol w:w="1554"/>
      </w:tblGrid>
      <w:tr w:rsidR="00570D9D">
        <w:trPr>
          <w:trHeight w:val="300"/>
        </w:trPr>
        <w:tc>
          <w:tcPr>
            <w:tcW w:w="90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BIDDER FINANCIAL CAPACITY COVER PAGE</w:t>
            </w:r>
          </w:p>
        </w:tc>
      </w:tr>
      <w:tr w:rsidR="00570D9D">
        <w:trPr>
          <w:trHeight w:val="300"/>
        </w:trPr>
        <w:tc>
          <w:tcPr>
            <w:tcW w:w="90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ANNUAL TURNOVER (LAST 3 YEARS)</w:t>
            </w:r>
          </w:p>
        </w:tc>
      </w:tr>
      <w:tr w:rsidR="00570D9D">
        <w:trPr>
          <w:trHeight w:val="300"/>
        </w:trPr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48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AMOUNT IN USD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Remark</w:t>
            </w:r>
          </w:p>
        </w:tc>
      </w:tr>
      <w:tr w:rsidR="00570D9D">
        <w:trPr>
          <w:trHeight w:val="300"/>
        </w:trPr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YEAR 1  (2017 OR 2016)</w:t>
            </w:r>
          </w:p>
        </w:tc>
        <w:tc>
          <w:tcPr>
            <w:tcW w:w="48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0D9D">
        <w:trPr>
          <w:trHeight w:val="300"/>
        </w:trPr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YEAR 2  (2018 OR 2017)</w:t>
            </w:r>
          </w:p>
        </w:tc>
        <w:tc>
          <w:tcPr>
            <w:tcW w:w="48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0D9D">
        <w:trPr>
          <w:trHeight w:val="300"/>
        </w:trPr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YEAR 3  (2019 OR 2018)</w:t>
            </w:r>
          </w:p>
        </w:tc>
        <w:tc>
          <w:tcPr>
            <w:tcW w:w="48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0D9D">
        <w:trPr>
          <w:trHeight w:val="300"/>
        </w:trPr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D9D" w:rsidRDefault="00570D9D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D9D" w:rsidRDefault="00570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D9D" w:rsidRDefault="00570D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D9D" w:rsidRDefault="00570D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D9D" w:rsidRDefault="00570D9D">
            <w:pPr>
              <w:rPr>
                <w:rFonts w:ascii="Times New Roman" w:hAnsi="Times New Roman" w:cs="Times New Roman"/>
              </w:rPr>
            </w:pPr>
          </w:p>
        </w:tc>
      </w:tr>
      <w:tr w:rsidR="00570D9D">
        <w:trPr>
          <w:trHeight w:val="300"/>
        </w:trPr>
        <w:tc>
          <w:tcPr>
            <w:tcW w:w="90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LIQUIDITY RATIOS (LAST 3 YEARS)</w:t>
            </w:r>
          </w:p>
        </w:tc>
      </w:tr>
      <w:tr w:rsidR="00570D9D">
        <w:trPr>
          <w:trHeight w:val="300"/>
        </w:trPr>
        <w:tc>
          <w:tcPr>
            <w:tcW w:w="25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AMOUNT IN USD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RATIO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Remark</w:t>
            </w:r>
          </w:p>
        </w:tc>
      </w:tr>
      <w:tr w:rsidR="00570D9D">
        <w:trPr>
          <w:trHeight w:val="300"/>
        </w:trPr>
        <w:tc>
          <w:tcPr>
            <w:tcW w:w="25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D9D" w:rsidRDefault="00B31A6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YEAR 1 (2017 OR 2016)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CURRENT ASSETS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D9D" w:rsidRDefault="00B31A6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Insert page number in document</w:t>
            </w:r>
          </w:p>
        </w:tc>
      </w:tr>
      <w:tr w:rsidR="00570D9D">
        <w:trPr>
          <w:trHeight w:val="300"/>
        </w:trPr>
        <w:tc>
          <w:tcPr>
            <w:tcW w:w="25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D9D" w:rsidRDefault="00570D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CURRENT LIABILITIES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D9D" w:rsidRDefault="00570D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D9D" w:rsidRDefault="00570D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70D9D">
        <w:trPr>
          <w:trHeight w:val="300"/>
        </w:trPr>
        <w:tc>
          <w:tcPr>
            <w:tcW w:w="25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D9D" w:rsidRDefault="00B31A6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YEAR 2 (2018 OR 2017)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CURRENT ASSETS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D9D" w:rsidRDefault="00B31A6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Insert page number in document</w:t>
            </w:r>
          </w:p>
        </w:tc>
      </w:tr>
      <w:tr w:rsidR="00570D9D">
        <w:trPr>
          <w:trHeight w:val="300"/>
        </w:trPr>
        <w:tc>
          <w:tcPr>
            <w:tcW w:w="25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D9D" w:rsidRDefault="00570D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CURRENT LIABILITIES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D9D" w:rsidRDefault="00570D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D9D" w:rsidRDefault="00570D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70D9D">
        <w:trPr>
          <w:trHeight w:val="300"/>
        </w:trPr>
        <w:tc>
          <w:tcPr>
            <w:tcW w:w="25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D9D" w:rsidRDefault="00B31A6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YEAR 3 (2019 OR 2018)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CURRENT ASSETS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D9D" w:rsidRDefault="00B31A6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Insert page number in document</w:t>
            </w:r>
          </w:p>
        </w:tc>
      </w:tr>
      <w:tr w:rsidR="00570D9D">
        <w:trPr>
          <w:trHeight w:val="300"/>
        </w:trPr>
        <w:tc>
          <w:tcPr>
            <w:tcW w:w="25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D9D" w:rsidRDefault="00570D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CURRENT LIABILITIES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70D9D" w:rsidRDefault="00B31A6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D9D" w:rsidRDefault="00570D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D9D" w:rsidRDefault="00570D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570D9D" w:rsidRDefault="00570D9D"/>
    <w:p w:rsidR="00570D9D" w:rsidRDefault="00570D9D"/>
    <w:p w:rsidR="00570D9D" w:rsidRDefault="00570D9D"/>
    <w:p w:rsidR="00570D9D" w:rsidRDefault="00B31A68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eastAsia="Arial"/>
          <w:color w:val="000000"/>
        </w:rPr>
      </w:pPr>
      <w:r>
        <w:rPr>
          <w:rFonts w:eastAsia="Arial"/>
          <w:color w:val="000000"/>
        </w:rPr>
        <w:t xml:space="preserve">I, the undersigned, certify that I </w:t>
      </w:r>
      <w:proofErr w:type="gramStart"/>
      <w:r>
        <w:rPr>
          <w:rFonts w:eastAsia="Arial"/>
          <w:color w:val="000000"/>
        </w:rPr>
        <w:t>am duly authorized</w:t>
      </w:r>
      <w:proofErr w:type="gramEnd"/>
      <w:r>
        <w:rPr>
          <w:rFonts w:eastAsia="Arial"/>
          <w:color w:val="000000"/>
        </w:rPr>
        <w:t xml:space="preserve"> by [</w:t>
      </w:r>
      <w:r>
        <w:rPr>
          <w:rFonts w:eastAsia="Arial"/>
          <w:b/>
          <w:i/>
          <w:color w:val="000000"/>
          <w:highlight w:val="cyan"/>
        </w:rPr>
        <w:t>insert full name of bidder</w:t>
      </w:r>
      <w:r>
        <w:rPr>
          <w:rFonts w:eastAsia="Arial"/>
          <w:color w:val="000000"/>
        </w:rPr>
        <w:t>] to sign this bid and bind [</w:t>
      </w:r>
      <w:r>
        <w:rPr>
          <w:rFonts w:eastAsia="Arial"/>
          <w:b/>
          <w:i/>
          <w:color w:val="000000"/>
          <w:highlight w:val="cyan"/>
        </w:rPr>
        <w:t>insert full name of bidder</w:t>
      </w:r>
      <w:r>
        <w:rPr>
          <w:rFonts w:eastAsia="Arial"/>
          <w:color w:val="000000"/>
          <w:highlight w:val="cyan"/>
        </w:rPr>
        <w:t>]</w:t>
      </w:r>
      <w:r>
        <w:rPr>
          <w:rFonts w:eastAsia="Arial"/>
          <w:color w:val="000000"/>
        </w:rPr>
        <w:t xml:space="preserve"> should UNOPS accept this bid: </w:t>
      </w:r>
    </w:p>
    <w:p w:rsidR="00570D9D" w:rsidRDefault="00570D9D">
      <w:pPr>
        <w:tabs>
          <w:tab w:val="left" w:pos="990"/>
          <w:tab w:val="left" w:pos="5040"/>
          <w:tab w:val="left" w:pos="5850"/>
        </w:tabs>
        <w:rPr>
          <w:color w:val="000000"/>
        </w:rPr>
      </w:pPr>
    </w:p>
    <w:p w:rsidR="00570D9D" w:rsidRDefault="00B31A68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>
        <w:rPr>
          <w:color w:val="000000"/>
        </w:rPr>
        <w:t>Name</w:t>
      </w:r>
      <w:r>
        <w:rPr>
          <w:color w:val="000000"/>
        </w:rPr>
        <w:tab/>
        <w:t>: _____________________________________________________________</w:t>
      </w:r>
    </w:p>
    <w:p w:rsidR="00570D9D" w:rsidRDefault="00570D9D">
      <w:pPr>
        <w:tabs>
          <w:tab w:val="left" w:pos="720"/>
        </w:tabs>
        <w:rPr>
          <w:color w:val="000000"/>
        </w:rPr>
      </w:pPr>
    </w:p>
    <w:p w:rsidR="00570D9D" w:rsidRDefault="00B31A68">
      <w:pPr>
        <w:tabs>
          <w:tab w:val="left" w:pos="990"/>
        </w:tabs>
        <w:rPr>
          <w:color w:val="000000"/>
        </w:rPr>
      </w:pPr>
      <w:r>
        <w:rPr>
          <w:color w:val="000000"/>
        </w:rPr>
        <w:t>Title</w:t>
      </w:r>
      <w:r>
        <w:rPr>
          <w:color w:val="000000"/>
        </w:rPr>
        <w:tab/>
        <w:t>: _____________________________________________________________</w:t>
      </w:r>
    </w:p>
    <w:p w:rsidR="00570D9D" w:rsidRDefault="00570D9D">
      <w:pPr>
        <w:rPr>
          <w:color w:val="000000"/>
        </w:rPr>
      </w:pPr>
    </w:p>
    <w:p w:rsidR="00570D9D" w:rsidRDefault="00B31A68">
      <w:pPr>
        <w:tabs>
          <w:tab w:val="left" w:pos="990"/>
        </w:tabs>
        <w:rPr>
          <w:color w:val="000000"/>
        </w:rPr>
      </w:pPr>
      <w:r>
        <w:rPr>
          <w:color w:val="000000"/>
        </w:rPr>
        <w:t>Date</w:t>
      </w:r>
      <w:r>
        <w:rPr>
          <w:color w:val="000000"/>
        </w:rPr>
        <w:tab/>
      </w:r>
      <w:r>
        <w:rPr>
          <w:color w:val="000000"/>
        </w:rPr>
        <w:t>: _____________________________________________________________</w:t>
      </w:r>
    </w:p>
    <w:p w:rsidR="00570D9D" w:rsidRDefault="00570D9D">
      <w:pPr>
        <w:rPr>
          <w:color w:val="000000"/>
        </w:rPr>
      </w:pPr>
    </w:p>
    <w:p w:rsidR="00570D9D" w:rsidRDefault="00B31A68">
      <w:pPr>
        <w:tabs>
          <w:tab w:val="left" w:pos="990"/>
        </w:tabs>
        <w:rPr>
          <w:color w:val="000000"/>
        </w:rPr>
      </w:pPr>
      <w:r>
        <w:rPr>
          <w:color w:val="000000"/>
        </w:rPr>
        <w:t>Signature</w:t>
      </w:r>
      <w:r>
        <w:rPr>
          <w:color w:val="000000"/>
        </w:rPr>
        <w:tab/>
        <w:t>: _____________________________________________________________</w:t>
      </w:r>
    </w:p>
    <w:p w:rsidR="00570D9D" w:rsidRDefault="00570D9D"/>
    <w:p w:rsidR="00570D9D" w:rsidRDefault="00570D9D"/>
    <w:p w:rsidR="00570D9D" w:rsidRDefault="00570D9D"/>
    <w:sectPr w:rsidR="00570D9D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D9D"/>
    <w:rsid w:val="00566D72"/>
    <w:rsid w:val="00570D9D"/>
    <w:rsid w:val="00B3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B8F5A3-27B3-4F62-A292-ACB63013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6D7C"/>
    <w:rPr>
      <w:rFonts w:eastAsia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D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BankNormal">
    <w:name w:val="BankNormal"/>
    <w:basedOn w:val="Normal"/>
    <w:link w:val="BankNormalChar"/>
    <w:rsid w:val="00096D7C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DefaultParagraphFont"/>
    <w:link w:val="BankNormal"/>
    <w:rsid w:val="00096D7C"/>
    <w:rPr>
      <w:rFonts w:ascii="Times New Roman" w:eastAsia="Times New Roman" w:hAnsi="Times New Roman" w:cs="Times New Roman"/>
      <w:sz w:val="24"/>
      <w:szCs w:val="20"/>
    </w:rPr>
  </w:style>
  <w:style w:type="paragraph" w:customStyle="1" w:styleId="MarginText">
    <w:name w:val="Margin Text"/>
    <w:basedOn w:val="BodyText"/>
    <w:rsid w:val="00096D7C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hAnsi="Times New Roman" w:cs="Times New Roman"/>
      <w:sz w:val="22"/>
      <w:lang w:eastAsia="en-US"/>
    </w:rPr>
  </w:style>
  <w:style w:type="paragraph" w:customStyle="1" w:styleId="Headline">
    <w:name w:val="Headline"/>
    <w:basedOn w:val="Heading1"/>
    <w:link w:val="HeadlineChar"/>
    <w:qFormat/>
    <w:rsid w:val="00096D7C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</w:rPr>
  </w:style>
  <w:style w:type="character" w:customStyle="1" w:styleId="HeadlineChar">
    <w:name w:val="Headline Char"/>
    <w:basedOn w:val="Heading1Char"/>
    <w:link w:val="Headline"/>
    <w:rsid w:val="00096D7C"/>
    <w:rPr>
      <w:rFonts w:ascii="Arial" w:eastAsia="Times New Roman" w:hAnsi="Arial" w:cs="Arial"/>
      <w:b/>
      <w:bCs/>
      <w:color w:val="518ECB"/>
      <w:sz w:val="28"/>
      <w:szCs w:val="28"/>
      <w:lang w:val="en-GB" w:eastAsia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96D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6D7C"/>
    <w:rPr>
      <w:rFonts w:ascii="Arial" w:eastAsia="Times New Roman" w:hAnsi="Arial" w:cs="Arial"/>
      <w:sz w:val="20"/>
      <w:szCs w:val="20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096D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rxGHRmfxFc1h0blmnrFIbPQW3g==">AMUW2mW6Xa2IZiK0F2reguSm0Q60K5l4UyZBboP1oWKRV7pY7qETPbejcOiyyv35Wt2Na4qb5FwfSYW9UGlYZVrgcP1Xm5hKe50ak4SABnZx0nxbuGDECJTqBbIZD4tOSV/a5rmEi1MO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Boureima TIMBO</dc:creator>
  <cp:lastModifiedBy>David GRIFFIN</cp:lastModifiedBy>
  <cp:revision>2</cp:revision>
  <dcterms:created xsi:type="dcterms:W3CDTF">2020-06-12T12:26:00Z</dcterms:created>
  <dcterms:modified xsi:type="dcterms:W3CDTF">2020-06-12T12:26:00Z</dcterms:modified>
</cp:coreProperties>
</file>